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BB1" w:rsidRPr="005E3BB1" w:rsidRDefault="005E3BB1" w:rsidP="005E3BB1">
      <w:pPr>
        <w:jc w:val="center"/>
      </w:pPr>
      <w:r>
        <w:rPr>
          <w:noProof/>
          <w:lang w:eastAsia="fr-BE"/>
        </w:rPr>
        <w:drawing>
          <wp:inline distT="0" distB="0" distL="0" distR="0">
            <wp:extent cx="3435040" cy="1141171"/>
            <wp:effectExtent l="19050" t="0" r="0" b="0"/>
            <wp:docPr id="2" name="Image 1" descr="custom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stomLogo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2547" cy="1140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BB1" w:rsidRPr="005E3BB1" w:rsidRDefault="005E3BB1" w:rsidP="005E3BB1">
      <w:pPr>
        <w:jc w:val="center"/>
        <w:rPr>
          <w:smallCaps/>
          <w:sz w:val="44"/>
        </w:rPr>
      </w:pPr>
      <w:r w:rsidRPr="005E3BB1">
        <w:rPr>
          <w:smallCaps/>
          <w:sz w:val="44"/>
        </w:rPr>
        <w:t>Appel à Contributions :</w:t>
      </w:r>
    </w:p>
    <w:p w:rsidR="005E3BB1" w:rsidRPr="005E3BB1" w:rsidRDefault="005E3BB1" w:rsidP="005E3BB1">
      <w:pPr>
        <w:jc w:val="center"/>
        <w:rPr>
          <w:sz w:val="56"/>
        </w:rPr>
      </w:pPr>
      <w:r w:rsidRPr="005E3BB1">
        <w:rPr>
          <w:sz w:val="56"/>
        </w:rPr>
        <w:t>Belgique : Sortir de crise</w:t>
      </w:r>
    </w:p>
    <w:p w:rsidR="005E3BB1" w:rsidRPr="00B15022" w:rsidRDefault="005E3BB1" w:rsidP="005E3BB1">
      <w:pPr>
        <w:rPr>
          <w:sz w:val="18"/>
        </w:rPr>
      </w:pPr>
    </w:p>
    <w:p w:rsidR="005E3BB1" w:rsidRPr="005E3BB1" w:rsidRDefault="005E3BB1" w:rsidP="005E3BB1">
      <w:pPr>
        <w:rPr>
          <w:rFonts w:ascii="Garamond" w:hAnsi="Garamond"/>
          <w:smallCaps/>
        </w:rPr>
      </w:pPr>
      <w:r w:rsidRPr="005E3BB1">
        <w:rPr>
          <w:rFonts w:ascii="Garamond" w:hAnsi="Garamond"/>
          <w:smallCaps/>
          <w:noProof/>
          <w:lang w:eastAsia="fr-BE"/>
        </w:rPr>
        <w:drawing>
          <wp:inline distT="0" distB="0" distL="0" distR="0">
            <wp:extent cx="405231" cy="405231"/>
            <wp:effectExtent l="19050" t="0" r="0" b="0"/>
            <wp:docPr id="4" name="Image 0" descr="logo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E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521" cy="409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3BB1">
        <w:rPr>
          <w:rFonts w:ascii="Garamond" w:hAnsi="Garamond"/>
          <w:smallCaps/>
        </w:rPr>
        <w:t xml:space="preserve"> Champ couvert</w:t>
      </w:r>
    </w:p>
    <w:p w:rsidR="005E3BB1" w:rsidRDefault="005707B9" w:rsidP="00B030CC">
      <w:pPr>
        <w:ind w:left="284"/>
        <w:jc w:val="both"/>
      </w:pPr>
      <w:r>
        <w:t>A l’évidence, aucun État ne peut se targuer d’avoir des institutions dont la stabilité a défié le temps ; l’adaptation des structures institutionnelles est d’ailleurs, peut-être, une qualité démocratique. Il n’empêche : dans ce domaine, la Belgique pêche par excès. La crise de f</w:t>
      </w:r>
      <w:r w:rsidR="00232694">
        <w:t>ormation gouvernementale dont sort le pays n’est à ce titre qu’un épisode</w:t>
      </w:r>
      <w:r>
        <w:t xml:space="preserve"> d’un prob</w:t>
      </w:r>
      <w:r w:rsidR="003D3444">
        <w:t xml:space="preserve">lème plus large et plus ancien, </w:t>
      </w:r>
      <w:r w:rsidR="00BD0060">
        <w:t xml:space="preserve">dont les tenants sont multiples et dont l’héritage n’est certainement pas celui d’un ensemble d’institutions cohérent, clair, et respectueux du principe de subsidiarité. </w:t>
      </w:r>
      <w:r w:rsidR="003D3444">
        <w:t xml:space="preserve"> A l’heure où cette crise politique rejoint celle de l’économie, la revue </w:t>
      </w:r>
      <w:r w:rsidR="003D3444" w:rsidRPr="00232694">
        <w:rPr>
          <w:i/>
        </w:rPr>
        <w:t>Émulations</w:t>
      </w:r>
      <w:r w:rsidR="00232694">
        <w:t xml:space="preserve"> </w:t>
      </w:r>
      <w:r w:rsidR="003D3444">
        <w:t>c</w:t>
      </w:r>
      <w:r w:rsidR="00232694">
        <w:t>onsacre</w:t>
      </w:r>
      <w:r w:rsidR="00BD0060">
        <w:t xml:space="preserve"> un numéro thématique au « problème belge ». Comme à son habitude, </w:t>
      </w:r>
      <w:r w:rsidR="00BD0060" w:rsidRPr="00232694">
        <w:rPr>
          <w:i/>
        </w:rPr>
        <w:t>Émulations</w:t>
      </w:r>
      <w:r w:rsidR="00BD0060">
        <w:t xml:space="preserve"> entend apporter un regard neuf sur une question classique autant que pressante, </w:t>
      </w:r>
      <w:r w:rsidR="00232694">
        <w:t xml:space="preserve">en </w:t>
      </w:r>
      <w:r w:rsidR="00BD0060">
        <w:t xml:space="preserve">prenant le détour des analyses traditionnelles – car le phénomène étudié relève tout autant de la sociologie, de la psychologie, de l’éthique, que de la politologie classique. Le numéro </w:t>
      </w:r>
      <w:r w:rsidR="00BD0060" w:rsidRPr="00BD0060">
        <w:rPr>
          <w:i/>
        </w:rPr>
        <w:t>Belgique : Sortir de crise</w:t>
      </w:r>
      <w:r w:rsidR="00BD0060">
        <w:t xml:space="preserve"> proposera un ensemble de contributions éclairant de manière rigoureuse et novatrice les origines, les mécanismes, </w:t>
      </w:r>
      <w:r w:rsidR="00680265">
        <w:t>les enjeux, mais aussi les dégâts collatéraux de la crise belge.</w:t>
      </w:r>
      <w:r w:rsidR="00232694">
        <w:t xml:space="preserve"> En tant que revue de la jeune génération des chercheurs et experts du champ </w:t>
      </w:r>
      <w:proofErr w:type="spellStart"/>
      <w:r w:rsidR="00232694">
        <w:t>socio-politique</w:t>
      </w:r>
      <w:proofErr w:type="spellEnd"/>
      <w:r w:rsidR="00232694">
        <w:t>, et comme le titre prévu du numéro le laisse</w:t>
      </w:r>
      <w:r w:rsidR="00B15022">
        <w:t xml:space="preserve"> clairement</w:t>
      </w:r>
      <w:r w:rsidR="00232694">
        <w:t xml:space="preserve"> entendre, </w:t>
      </w:r>
      <w:r w:rsidR="00232694" w:rsidRPr="00232694">
        <w:rPr>
          <w:i/>
        </w:rPr>
        <w:t>Émulations</w:t>
      </w:r>
      <w:r w:rsidR="00232694">
        <w:t xml:space="preserve"> souhaite également que les auteurs apportent une dimension prospective à leurs analyses, c’est-à-dire soulignent les opportunités qu’une telle crise fait nécessairement surgir.</w:t>
      </w:r>
    </w:p>
    <w:p w:rsidR="005E3BB1" w:rsidRPr="00B15022" w:rsidRDefault="005E3BB1" w:rsidP="005E3BB1">
      <w:pPr>
        <w:rPr>
          <w:sz w:val="18"/>
        </w:rPr>
      </w:pPr>
    </w:p>
    <w:p w:rsidR="005E3BB1" w:rsidRPr="005E3BB1" w:rsidRDefault="005E3BB1" w:rsidP="005E3BB1">
      <w:pPr>
        <w:rPr>
          <w:rFonts w:ascii="Garamond" w:hAnsi="Garamond"/>
          <w:smallCaps/>
        </w:rPr>
      </w:pPr>
      <w:r w:rsidRPr="005E3BB1">
        <w:rPr>
          <w:rFonts w:ascii="Garamond" w:hAnsi="Garamond"/>
          <w:smallCaps/>
          <w:noProof/>
          <w:lang w:eastAsia="fr-BE"/>
        </w:rPr>
        <w:drawing>
          <wp:inline distT="0" distB="0" distL="0" distR="0">
            <wp:extent cx="405231" cy="405231"/>
            <wp:effectExtent l="19050" t="0" r="0" b="0"/>
            <wp:docPr id="5" name="Image 0" descr="logo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E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093" cy="412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3BB1">
        <w:rPr>
          <w:rFonts w:ascii="Garamond" w:hAnsi="Garamond"/>
          <w:smallCaps/>
        </w:rPr>
        <w:t xml:space="preserve"> Lignes directrices de rédaction </w:t>
      </w:r>
    </w:p>
    <w:p w:rsidR="00B030CC" w:rsidRPr="005E3BB1" w:rsidRDefault="005E3BB1" w:rsidP="00B15022">
      <w:pPr>
        <w:ind w:left="284"/>
        <w:jc w:val="both"/>
      </w:pPr>
      <w:r>
        <w:t>Les textes proposés seront écrits en</w:t>
      </w:r>
      <w:r w:rsidRPr="005E3BB1">
        <w:t xml:space="preserve"> français</w:t>
      </w:r>
      <w:r w:rsidR="00232694">
        <w:t xml:space="preserve"> ou, exceptionnellement du fait de la thématique abordée, en néerlandais</w:t>
      </w:r>
      <w:r>
        <w:t xml:space="preserve"> et compteront entre 4500 et 7500 mots. Les auteurs feront attention à couvrir une problématique bien délimitée, et à soigner la précision et la concision de leur expression. Les auteurs les feront parvenir sous format WORD, accompagnés d’un</w:t>
      </w:r>
      <w:r w:rsidRPr="005E3BB1">
        <w:t xml:space="preserve"> abstract</w:t>
      </w:r>
      <w:r>
        <w:t xml:space="preserve"> de 300 mots</w:t>
      </w:r>
      <w:r w:rsidRPr="005E3BB1">
        <w:t>,</w:t>
      </w:r>
      <w:r>
        <w:t xml:space="preserve"> par email simultanément aux adresses : </w:t>
      </w:r>
      <w:hyperlink r:id="rId6" w:history="1">
        <w:r w:rsidR="00232694" w:rsidRPr="007C2521">
          <w:rPr>
            <w:rStyle w:val="Lienhypertexte"/>
          </w:rPr>
          <w:t>redac@revue-emulations.net</w:t>
        </w:r>
      </w:hyperlink>
      <w:r w:rsidR="00232694">
        <w:t>,</w:t>
      </w:r>
      <w:r>
        <w:t xml:space="preserve"> </w:t>
      </w:r>
      <w:hyperlink r:id="rId7" w:history="1">
        <w:r w:rsidRPr="00A36284">
          <w:rPr>
            <w:rStyle w:val="Lienhypertexte"/>
          </w:rPr>
          <w:t>stephane.baele@fundp.ac.be</w:t>
        </w:r>
      </w:hyperlink>
      <w:r w:rsidR="00232694">
        <w:t xml:space="preserve">, </w:t>
      </w:r>
      <w:hyperlink r:id="rId8" w:history="1">
        <w:r w:rsidR="00232694" w:rsidRPr="007C2521">
          <w:rPr>
            <w:rStyle w:val="Lienhypertexte"/>
          </w:rPr>
          <w:t>quentin.martens@coleurope.eu</w:t>
        </w:r>
      </w:hyperlink>
      <w:r w:rsidR="00232694">
        <w:t xml:space="preserve">. </w:t>
      </w:r>
      <w:r>
        <w:t xml:space="preserve">La rédaction accusera réception </w:t>
      </w:r>
      <w:r>
        <w:lastRenderedPageBreak/>
        <w:t xml:space="preserve">des articles reçus dans la semaine. Un avis (acceptation – acceptation sous réserve de modifications – refus) sera notifié dans </w:t>
      </w:r>
      <w:r w:rsidR="00232694">
        <w:t>les 3</w:t>
      </w:r>
      <w:r w:rsidR="00AA79E2">
        <w:t>0 jours suivants, après lecture par un membre du comité de lecture et les responsables du numéro.</w:t>
      </w:r>
      <w:r w:rsidR="001D1109">
        <w:t xml:space="preserve"> Il est prévu que le numéro sorte en mars 2012.</w:t>
      </w:r>
      <w:r w:rsidR="009810BB" w:rsidRPr="009810BB">
        <w:t xml:space="preserve"> </w:t>
      </w:r>
      <w:r w:rsidR="00B15022">
        <w:t>La d</w:t>
      </w:r>
      <w:r w:rsidR="009810BB">
        <w:t>ate limite de l’envoi des contributions </w:t>
      </w:r>
      <w:r w:rsidR="00B15022">
        <w:t>est</w:t>
      </w:r>
      <w:r w:rsidR="009810BB">
        <w:t xml:space="preserve"> le 30 décembre 2011.</w:t>
      </w:r>
    </w:p>
    <w:p w:rsidR="005E3BB1" w:rsidRPr="005E3BB1" w:rsidRDefault="00B15022" w:rsidP="00B030CC">
      <w:pPr>
        <w:ind w:left="284"/>
        <w:jc w:val="both"/>
      </w:pPr>
      <w:r>
        <w:t xml:space="preserve">Les contributions </w:t>
      </w:r>
      <w:r w:rsidR="005E3BB1" w:rsidRPr="005E3BB1">
        <w:t>respecter</w:t>
      </w:r>
      <w:r>
        <w:t>ont</w:t>
      </w:r>
      <w:r w:rsidR="005E3BB1" w:rsidRPr="005E3BB1">
        <w:t xml:space="preserve"> </w:t>
      </w:r>
      <w:r>
        <w:t xml:space="preserve">impérativement </w:t>
      </w:r>
      <w:r w:rsidR="005E3BB1" w:rsidRPr="005E3BB1">
        <w:t xml:space="preserve">les règles </w:t>
      </w:r>
      <w:r w:rsidR="005E3BB1">
        <w:t>formelles suivantes :</w:t>
      </w:r>
    </w:p>
    <w:p w:rsidR="005E3BB1" w:rsidRPr="003C2BAD" w:rsidRDefault="005E3BB1" w:rsidP="001D1109">
      <w:pPr>
        <w:ind w:firstLine="708"/>
        <w:jc w:val="both"/>
        <w:rPr>
          <w:sz w:val="16"/>
        </w:rPr>
      </w:pPr>
      <w:r w:rsidRPr="003C2BAD">
        <w:rPr>
          <w:sz w:val="16"/>
        </w:rPr>
        <w:t xml:space="preserve">- Police Garamond 10 pour le corps de texte, Arial pour les titres. </w:t>
      </w:r>
    </w:p>
    <w:p w:rsidR="005E3BB1" w:rsidRPr="003C2BAD" w:rsidRDefault="005E3BB1" w:rsidP="001D1109">
      <w:pPr>
        <w:ind w:firstLine="708"/>
        <w:jc w:val="both"/>
        <w:rPr>
          <w:sz w:val="16"/>
        </w:rPr>
      </w:pPr>
      <w:r w:rsidRPr="003C2BAD">
        <w:rPr>
          <w:sz w:val="16"/>
        </w:rPr>
        <w:t xml:space="preserve">- </w:t>
      </w:r>
      <w:r w:rsidR="00AA79E2" w:rsidRPr="003C2BAD">
        <w:rPr>
          <w:sz w:val="16"/>
        </w:rPr>
        <w:t>Texte justifié</w:t>
      </w:r>
      <w:r w:rsidRPr="003C2BAD">
        <w:rPr>
          <w:sz w:val="16"/>
        </w:rPr>
        <w:t xml:space="preserve"> à gauche et à droite. </w:t>
      </w:r>
      <w:r w:rsidR="00AA79E2" w:rsidRPr="003C2BAD">
        <w:rPr>
          <w:sz w:val="16"/>
        </w:rPr>
        <w:t>Marges par défaut.</w:t>
      </w:r>
    </w:p>
    <w:p w:rsidR="005E3BB1" w:rsidRPr="003C2BAD" w:rsidRDefault="005E3BB1" w:rsidP="00B030CC">
      <w:pPr>
        <w:ind w:left="708"/>
        <w:jc w:val="both"/>
        <w:rPr>
          <w:sz w:val="16"/>
        </w:rPr>
      </w:pPr>
      <w:r w:rsidRPr="003C2BAD">
        <w:rPr>
          <w:sz w:val="16"/>
        </w:rPr>
        <w:t>- Citations courtes (moins de quatre lignes)</w:t>
      </w:r>
      <w:r w:rsidR="00AA79E2" w:rsidRPr="003C2BAD">
        <w:rPr>
          <w:sz w:val="16"/>
        </w:rPr>
        <w:t> :</w:t>
      </w:r>
      <w:r w:rsidRPr="003C2BAD">
        <w:rPr>
          <w:sz w:val="16"/>
        </w:rPr>
        <w:t xml:space="preserve"> dans le corps du texte entre guillemets français (« citation</w:t>
      </w:r>
      <w:r w:rsidR="00AA79E2" w:rsidRPr="003C2BAD">
        <w:rPr>
          <w:sz w:val="16"/>
        </w:rPr>
        <w:t xml:space="preserve"> ») et non anglais (“citation”). Citations longues : dans un paragr</w:t>
      </w:r>
      <w:r w:rsidR="00B030CC" w:rsidRPr="003C2BAD">
        <w:rPr>
          <w:sz w:val="16"/>
        </w:rPr>
        <w:t>aphe en retrait vers la droite.</w:t>
      </w:r>
    </w:p>
    <w:p w:rsidR="005E3BB1" w:rsidRPr="003C2BAD" w:rsidRDefault="005E3BB1" w:rsidP="001D1109">
      <w:pPr>
        <w:ind w:left="708"/>
        <w:jc w:val="both"/>
        <w:rPr>
          <w:sz w:val="16"/>
        </w:rPr>
      </w:pPr>
      <w:r w:rsidRPr="003C2BAD">
        <w:rPr>
          <w:sz w:val="16"/>
        </w:rPr>
        <w:t>- Référence</w:t>
      </w:r>
      <w:r w:rsidR="00AA79E2" w:rsidRPr="003C2BAD">
        <w:rPr>
          <w:sz w:val="16"/>
        </w:rPr>
        <w:t>ment bibliographique</w:t>
      </w:r>
      <w:r w:rsidRPr="003C2BAD">
        <w:rPr>
          <w:sz w:val="16"/>
        </w:rPr>
        <w:t xml:space="preserve"> de type Harvard</w:t>
      </w:r>
      <w:r w:rsidR="00AA79E2" w:rsidRPr="003C2BAD">
        <w:rPr>
          <w:sz w:val="16"/>
        </w:rPr>
        <w:t>,</w:t>
      </w:r>
      <w:r w:rsidRPr="003C2BAD">
        <w:rPr>
          <w:sz w:val="16"/>
        </w:rPr>
        <w:t xml:space="preserve"> dans le texte sur ce modèle : (Simmel 2008 : 25). </w:t>
      </w:r>
      <w:r w:rsidR="00AA79E2" w:rsidRPr="003C2BAD">
        <w:rPr>
          <w:sz w:val="16"/>
        </w:rPr>
        <w:t>Référencement des sources non-scientifiques (articles de presse, contributions de blogs, programme de parti politique, etc.) : en bas de page.</w:t>
      </w:r>
    </w:p>
    <w:p w:rsidR="005E3BB1" w:rsidRPr="003C2BAD" w:rsidRDefault="005E3BB1" w:rsidP="001D1109">
      <w:pPr>
        <w:ind w:left="708"/>
        <w:jc w:val="both"/>
        <w:rPr>
          <w:sz w:val="16"/>
        </w:rPr>
      </w:pPr>
      <w:r w:rsidRPr="003C2BAD">
        <w:rPr>
          <w:sz w:val="16"/>
        </w:rPr>
        <w:t>- Titre court (max 6 mots) avec sous</w:t>
      </w:r>
      <w:r w:rsidR="00AA79E2" w:rsidRPr="003C2BAD">
        <w:rPr>
          <w:sz w:val="16"/>
        </w:rPr>
        <w:t xml:space="preserve"> titre plus long si nécessaire. Le lien avec le champ couvert par le numéro doit être clairement sous-entendu par le titre.</w:t>
      </w:r>
    </w:p>
    <w:p w:rsidR="005E3BB1" w:rsidRPr="003C2BAD" w:rsidRDefault="005E3BB1" w:rsidP="001D1109">
      <w:pPr>
        <w:ind w:left="708"/>
        <w:jc w:val="both"/>
        <w:rPr>
          <w:sz w:val="16"/>
        </w:rPr>
      </w:pPr>
      <w:r w:rsidRPr="003C2BAD">
        <w:rPr>
          <w:sz w:val="16"/>
        </w:rPr>
        <w:t xml:space="preserve">- Pas d’italique, ni de gras, ni de soulignement dans le texte, excepté l’italique pour les titres </w:t>
      </w:r>
      <w:r w:rsidR="00AA79E2" w:rsidRPr="003C2BAD">
        <w:rPr>
          <w:sz w:val="16"/>
        </w:rPr>
        <w:t>d’ouvrage.</w:t>
      </w:r>
    </w:p>
    <w:p w:rsidR="00AA79E2" w:rsidRPr="003C2BAD" w:rsidRDefault="00AA79E2" w:rsidP="001D1109">
      <w:pPr>
        <w:ind w:left="708"/>
        <w:jc w:val="both"/>
        <w:rPr>
          <w:sz w:val="16"/>
        </w:rPr>
      </w:pPr>
      <w:r w:rsidRPr="003C2BAD">
        <w:rPr>
          <w:sz w:val="16"/>
        </w:rPr>
        <w:t>- Bibliographie complète en fin de texte, exclusivement sous le modèle :</w:t>
      </w:r>
    </w:p>
    <w:p w:rsidR="00AA79E2" w:rsidRPr="003C2BAD" w:rsidRDefault="00AA79E2" w:rsidP="001D1109">
      <w:pPr>
        <w:pStyle w:val="PUL-bibliographie"/>
        <w:rPr>
          <w:sz w:val="16"/>
          <w:lang w:val="fr-BE"/>
        </w:rPr>
      </w:pPr>
      <w:r w:rsidRPr="003C2BAD">
        <w:rPr>
          <w:sz w:val="16"/>
        </w:rPr>
        <w:tab/>
      </w:r>
      <w:r w:rsidRPr="003C2BAD">
        <w:rPr>
          <w:sz w:val="16"/>
        </w:rPr>
        <w:tab/>
      </w:r>
      <w:r w:rsidRPr="003C2BAD">
        <w:rPr>
          <w:sz w:val="16"/>
        </w:rPr>
        <w:tab/>
      </w:r>
      <w:r w:rsidRPr="003C2BAD">
        <w:rPr>
          <w:smallCaps/>
          <w:sz w:val="16"/>
        </w:rPr>
        <w:t>Wittgenstein</w:t>
      </w:r>
      <w:r w:rsidRPr="003C2BAD">
        <w:rPr>
          <w:caps/>
          <w:sz w:val="16"/>
        </w:rPr>
        <w:t xml:space="preserve"> L</w:t>
      </w:r>
      <w:r w:rsidRPr="003C2BAD">
        <w:rPr>
          <w:smallCaps/>
          <w:sz w:val="16"/>
        </w:rPr>
        <w:t xml:space="preserve">. (2004): </w:t>
      </w:r>
      <w:r w:rsidRPr="003C2BAD">
        <w:rPr>
          <w:i/>
          <w:iCs/>
          <w:sz w:val="16"/>
        </w:rPr>
        <w:t>Recherches philosophiques</w:t>
      </w:r>
      <w:r w:rsidRPr="003C2BAD">
        <w:rPr>
          <w:sz w:val="16"/>
        </w:rPr>
        <w:t xml:space="preserve">. </w:t>
      </w:r>
      <w:r w:rsidRPr="003C2BAD">
        <w:rPr>
          <w:sz w:val="16"/>
          <w:lang w:val="fr-BE"/>
        </w:rPr>
        <w:t>Paris: Gallimard – NRF.</w:t>
      </w:r>
    </w:p>
    <w:p w:rsidR="00AA79E2" w:rsidRPr="003C2BAD" w:rsidRDefault="00AA79E2" w:rsidP="001D1109">
      <w:pPr>
        <w:pStyle w:val="PUL-bibliographie"/>
        <w:ind w:left="1416"/>
        <w:rPr>
          <w:sz w:val="16"/>
          <w:lang w:val="en-GB"/>
        </w:rPr>
      </w:pPr>
      <w:r w:rsidRPr="003C2BAD">
        <w:rPr>
          <w:sz w:val="16"/>
        </w:rPr>
        <w:tab/>
      </w:r>
      <w:r w:rsidRPr="003C2BAD">
        <w:rPr>
          <w:smallCaps/>
          <w:sz w:val="16"/>
          <w:lang w:val="en-GB"/>
        </w:rPr>
        <w:t>Lowe J. (1997)</w:t>
      </w:r>
      <w:r w:rsidRPr="003C2BAD">
        <w:rPr>
          <w:sz w:val="16"/>
          <w:lang w:val="en-GB"/>
        </w:rPr>
        <w:t xml:space="preserve">: « Ontological categories and natural kinds ». In </w:t>
      </w:r>
      <w:r w:rsidRPr="003C2BAD">
        <w:rPr>
          <w:i/>
          <w:iCs/>
          <w:sz w:val="16"/>
          <w:lang w:val="en-GB"/>
        </w:rPr>
        <w:t>Philosophical Studies</w:t>
      </w:r>
      <w:r w:rsidRPr="003C2BAD">
        <w:rPr>
          <w:sz w:val="16"/>
          <w:lang w:val="en-GB"/>
        </w:rPr>
        <w:t>, vol.26 n°1, pp.29-46.</w:t>
      </w:r>
    </w:p>
    <w:p w:rsidR="005E3BB1" w:rsidRPr="005E3BB1" w:rsidRDefault="005E3BB1" w:rsidP="005E3BB1">
      <w:pPr>
        <w:rPr>
          <w:rFonts w:ascii="Garamond" w:hAnsi="Garamond"/>
          <w:smallCaps/>
        </w:rPr>
      </w:pPr>
      <w:r>
        <w:rPr>
          <w:noProof/>
          <w:lang w:eastAsia="fr-BE"/>
        </w:rPr>
        <w:drawing>
          <wp:inline distT="0" distB="0" distL="0" distR="0">
            <wp:extent cx="405231" cy="405231"/>
            <wp:effectExtent l="19050" t="0" r="0" b="0"/>
            <wp:docPr id="3" name="Image 0" descr="logo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E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094" cy="412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ramond" w:hAnsi="Garamond"/>
          <w:smallCaps/>
        </w:rPr>
        <w:t xml:space="preserve"> Note sur la revue</w:t>
      </w:r>
    </w:p>
    <w:p w:rsidR="005E3BB1" w:rsidRPr="00232694" w:rsidRDefault="005E3BB1" w:rsidP="00B030CC">
      <w:pPr>
        <w:ind w:left="284"/>
        <w:jc w:val="both"/>
        <w:rPr>
          <w:sz w:val="20"/>
        </w:rPr>
      </w:pPr>
      <w:r w:rsidRPr="00B15022">
        <w:rPr>
          <w:i/>
          <w:sz w:val="20"/>
        </w:rPr>
        <w:t>Émulations</w:t>
      </w:r>
      <w:r w:rsidRPr="00232694">
        <w:rPr>
          <w:sz w:val="20"/>
        </w:rPr>
        <w:t xml:space="preserve"> est une revue de sciences sociales qui a pour volonté d’offrir un espace de communication dynamique aux</w:t>
      </w:r>
      <w:r w:rsidR="00AA79E2" w:rsidRPr="00232694">
        <w:rPr>
          <w:sz w:val="20"/>
        </w:rPr>
        <w:t xml:space="preserve"> jeunes</w:t>
      </w:r>
      <w:r w:rsidRPr="00232694">
        <w:rPr>
          <w:sz w:val="20"/>
        </w:rPr>
        <w:t xml:space="preserve"> chercheurs (doctorants</w:t>
      </w:r>
      <w:r w:rsidR="00AA79E2" w:rsidRPr="00232694">
        <w:rPr>
          <w:sz w:val="20"/>
        </w:rPr>
        <w:t xml:space="preserve">, post-doctorants) et aux experts juniors </w:t>
      </w:r>
      <w:r w:rsidRPr="00232694">
        <w:rPr>
          <w:sz w:val="20"/>
        </w:rPr>
        <w:t xml:space="preserve">désireux de publier leurs </w:t>
      </w:r>
      <w:r w:rsidR="00AA79E2" w:rsidRPr="00232694">
        <w:rPr>
          <w:sz w:val="20"/>
        </w:rPr>
        <w:t>analyses</w:t>
      </w:r>
      <w:r w:rsidRPr="00232694">
        <w:rPr>
          <w:sz w:val="20"/>
        </w:rPr>
        <w:t xml:space="preserve"> et réflexions.</w:t>
      </w:r>
      <w:r w:rsidR="00AA79E2" w:rsidRPr="00232694">
        <w:rPr>
          <w:sz w:val="20"/>
        </w:rPr>
        <w:t xml:space="preserve"> Émulations se présente comme la voix de la jeune génération des analystes, experts et chercheurs concernés par les phénomènes sociaux, politiques, économiques.</w:t>
      </w:r>
      <w:r w:rsidRPr="00232694">
        <w:rPr>
          <w:sz w:val="20"/>
        </w:rPr>
        <w:t xml:space="preserve"> </w:t>
      </w:r>
    </w:p>
    <w:p w:rsidR="005E3BB1" w:rsidRPr="00232694" w:rsidRDefault="005E3BB1" w:rsidP="00B030CC">
      <w:pPr>
        <w:ind w:left="284"/>
        <w:jc w:val="both"/>
        <w:rPr>
          <w:sz w:val="20"/>
        </w:rPr>
      </w:pPr>
      <w:r w:rsidRPr="00B15022">
        <w:rPr>
          <w:i/>
          <w:sz w:val="20"/>
        </w:rPr>
        <w:t>Émulat</w:t>
      </w:r>
      <w:r w:rsidR="001D1109" w:rsidRPr="00B15022">
        <w:rPr>
          <w:i/>
          <w:sz w:val="20"/>
        </w:rPr>
        <w:t>ions</w:t>
      </w:r>
      <w:r w:rsidR="001D1109" w:rsidRPr="00232694">
        <w:rPr>
          <w:sz w:val="20"/>
        </w:rPr>
        <w:t xml:space="preserve"> publie des articles courts, </w:t>
      </w:r>
      <w:r w:rsidRPr="00232694">
        <w:rPr>
          <w:sz w:val="20"/>
        </w:rPr>
        <w:t>qui élaborent un regard</w:t>
      </w:r>
      <w:r w:rsidR="001D1109" w:rsidRPr="00232694">
        <w:rPr>
          <w:sz w:val="20"/>
        </w:rPr>
        <w:t xml:space="preserve"> neuf,</w:t>
      </w:r>
      <w:r w:rsidRPr="00232694">
        <w:rPr>
          <w:sz w:val="20"/>
        </w:rPr>
        <w:t xml:space="preserve"> original sur le </w:t>
      </w:r>
      <w:r w:rsidR="001D1109" w:rsidRPr="00232694">
        <w:rPr>
          <w:sz w:val="20"/>
        </w:rPr>
        <w:t>champ couvert</w:t>
      </w:r>
      <w:r w:rsidRPr="00232694">
        <w:rPr>
          <w:sz w:val="20"/>
        </w:rPr>
        <w:t xml:space="preserve">. Les articles sont rigoureux </w:t>
      </w:r>
      <w:r w:rsidR="001D1109" w:rsidRPr="00232694">
        <w:rPr>
          <w:sz w:val="20"/>
        </w:rPr>
        <w:t>et explicites dans leur langage et dans leur raisonnement, et</w:t>
      </w:r>
      <w:r w:rsidRPr="00232694">
        <w:rPr>
          <w:sz w:val="20"/>
        </w:rPr>
        <w:t xml:space="preserve"> utilisent les outils des sciences sociales pour construire leur propos. </w:t>
      </w:r>
      <w:r w:rsidR="001D1109" w:rsidRPr="00232694">
        <w:rPr>
          <w:sz w:val="20"/>
        </w:rPr>
        <w:t>Ne sont</w:t>
      </w:r>
      <w:r w:rsidRPr="00232694">
        <w:rPr>
          <w:sz w:val="20"/>
        </w:rPr>
        <w:t xml:space="preserve"> pas retenu les articles trop conventionnels dans leur forme ou dans leur contenu. Les valeurs clés de la revue sont</w:t>
      </w:r>
      <w:r w:rsidR="001D1109" w:rsidRPr="00232694">
        <w:rPr>
          <w:sz w:val="20"/>
        </w:rPr>
        <w:t xml:space="preserve"> l’originalité et la précision.</w:t>
      </w:r>
    </w:p>
    <w:p w:rsidR="00381846" w:rsidRPr="00232694" w:rsidRDefault="005E3BB1" w:rsidP="00B030CC">
      <w:pPr>
        <w:ind w:left="284"/>
        <w:jc w:val="both"/>
        <w:rPr>
          <w:sz w:val="20"/>
        </w:rPr>
      </w:pPr>
      <w:r w:rsidRPr="00232694">
        <w:rPr>
          <w:sz w:val="20"/>
        </w:rPr>
        <w:t xml:space="preserve">La revue est d’abord ouverte aux jeunes chercheurs </w:t>
      </w:r>
      <w:r w:rsidR="001D1109" w:rsidRPr="00232694">
        <w:rPr>
          <w:sz w:val="20"/>
        </w:rPr>
        <w:t xml:space="preserve">(en économie, philosophie, sociologie, science politique) </w:t>
      </w:r>
      <w:r w:rsidRPr="00232694">
        <w:rPr>
          <w:sz w:val="20"/>
        </w:rPr>
        <w:t xml:space="preserve">et jeunes professionnels recourant aux sciences sociales dans leur pratique. </w:t>
      </w:r>
      <w:r w:rsidR="001D1109" w:rsidRPr="00232694">
        <w:rPr>
          <w:sz w:val="20"/>
        </w:rPr>
        <w:t>Dans une certaine mesure, l</w:t>
      </w:r>
      <w:r w:rsidRPr="00232694">
        <w:rPr>
          <w:sz w:val="20"/>
        </w:rPr>
        <w:t>es pages sont également ouvertes aux chercheurs seniors qui sont invités à participer au dialogue instauré par la revue</w:t>
      </w:r>
      <w:r w:rsidR="001D1109" w:rsidRPr="00232694">
        <w:rPr>
          <w:sz w:val="20"/>
        </w:rPr>
        <w:t>.</w:t>
      </w:r>
    </w:p>
    <w:p w:rsidR="003C2BAD" w:rsidRPr="00232694" w:rsidRDefault="001D1109" w:rsidP="003C2BAD">
      <w:pPr>
        <w:ind w:left="284"/>
        <w:jc w:val="both"/>
        <w:rPr>
          <w:sz w:val="20"/>
        </w:rPr>
      </w:pPr>
      <w:r w:rsidRPr="00232694">
        <w:rPr>
          <w:sz w:val="20"/>
        </w:rPr>
        <w:t xml:space="preserve">La revue </w:t>
      </w:r>
      <w:r w:rsidRPr="00B15022">
        <w:rPr>
          <w:i/>
          <w:sz w:val="20"/>
        </w:rPr>
        <w:t>Émulations</w:t>
      </w:r>
      <w:r w:rsidRPr="00232694">
        <w:rPr>
          <w:sz w:val="20"/>
        </w:rPr>
        <w:t xml:space="preserve"> publie annuellement deux numéros thématiques aux Presses Universitaires de Louvain</w:t>
      </w:r>
      <w:r w:rsidR="00B030CC" w:rsidRPr="00232694">
        <w:rPr>
          <w:sz w:val="20"/>
        </w:rPr>
        <w:t xml:space="preserve"> (impression papier)</w:t>
      </w:r>
      <w:r w:rsidRPr="00232694">
        <w:rPr>
          <w:sz w:val="20"/>
        </w:rPr>
        <w:t xml:space="preserve">, et alimente le débat par des articles non-thématiques, des interviews, et des comptes-rendus critiques d’ouvrages </w:t>
      </w:r>
      <w:r w:rsidR="003C2BAD" w:rsidRPr="00232694">
        <w:rPr>
          <w:sz w:val="20"/>
        </w:rPr>
        <w:t xml:space="preserve">en version électronique </w:t>
      </w:r>
      <w:r w:rsidRPr="00232694">
        <w:rPr>
          <w:sz w:val="20"/>
        </w:rPr>
        <w:t>sur son site web</w:t>
      </w:r>
      <w:r w:rsidR="003C2BAD" w:rsidRPr="00232694">
        <w:rPr>
          <w:sz w:val="20"/>
        </w:rPr>
        <w:t> :</w:t>
      </w:r>
      <w:r w:rsidRPr="00232694">
        <w:rPr>
          <w:sz w:val="20"/>
        </w:rPr>
        <w:t xml:space="preserve"> &lt; </w:t>
      </w:r>
      <w:hyperlink r:id="rId9" w:history="1">
        <w:r w:rsidRPr="00232694">
          <w:rPr>
            <w:rStyle w:val="Lienhypertexte"/>
            <w:sz w:val="20"/>
          </w:rPr>
          <w:t>www.revue-emulations.net</w:t>
        </w:r>
      </w:hyperlink>
      <w:r w:rsidRPr="00232694">
        <w:rPr>
          <w:sz w:val="20"/>
        </w:rPr>
        <w:t xml:space="preserve"> &gt;.</w:t>
      </w:r>
      <w:r w:rsidR="003C2BAD" w:rsidRPr="00232694">
        <w:rPr>
          <w:sz w:val="20"/>
        </w:rPr>
        <w:t xml:space="preserve"> Numéros récents : </w:t>
      </w:r>
      <w:r w:rsidR="003C2BAD" w:rsidRPr="00232694">
        <w:rPr>
          <w:i/>
          <w:sz w:val="20"/>
        </w:rPr>
        <w:t>Art</w:t>
      </w:r>
      <w:r w:rsidR="00B15022">
        <w:rPr>
          <w:i/>
          <w:sz w:val="20"/>
        </w:rPr>
        <w:t>, participation</w:t>
      </w:r>
      <w:r w:rsidR="003C2BAD" w:rsidRPr="00232694">
        <w:rPr>
          <w:i/>
          <w:sz w:val="20"/>
        </w:rPr>
        <w:t xml:space="preserve"> et </w:t>
      </w:r>
      <w:r w:rsidR="00B15022">
        <w:rPr>
          <w:i/>
          <w:sz w:val="20"/>
        </w:rPr>
        <w:t>d</w:t>
      </w:r>
      <w:r w:rsidR="003C2BAD" w:rsidRPr="00232694">
        <w:rPr>
          <w:i/>
          <w:sz w:val="20"/>
        </w:rPr>
        <w:t>émocratie</w:t>
      </w:r>
      <w:r w:rsidR="003C2BAD" w:rsidRPr="00232694">
        <w:rPr>
          <w:sz w:val="20"/>
        </w:rPr>
        <w:t xml:space="preserve"> (n°9) ; </w:t>
      </w:r>
      <w:r w:rsidR="003C2BAD" w:rsidRPr="00232694">
        <w:rPr>
          <w:i/>
          <w:sz w:val="20"/>
        </w:rPr>
        <w:t>Catégories politiques : Enjeux éthiques au cœur du pouvoir</w:t>
      </w:r>
      <w:r w:rsidR="003C2BAD" w:rsidRPr="00232694">
        <w:rPr>
          <w:sz w:val="20"/>
        </w:rPr>
        <w:t xml:space="preserve"> (n°8) ; </w:t>
      </w:r>
      <w:r w:rsidR="003C2BAD" w:rsidRPr="00232694">
        <w:rPr>
          <w:i/>
          <w:sz w:val="20"/>
        </w:rPr>
        <w:t>Regards sur notre Europe</w:t>
      </w:r>
      <w:r w:rsidR="003C2BAD" w:rsidRPr="00232694">
        <w:rPr>
          <w:sz w:val="20"/>
        </w:rPr>
        <w:t xml:space="preserve"> (n°6 et n°7) ; </w:t>
      </w:r>
      <w:r w:rsidR="003C2BAD" w:rsidRPr="00232694">
        <w:rPr>
          <w:i/>
          <w:sz w:val="20"/>
        </w:rPr>
        <w:t>Simmel : Environnement et mondialisation</w:t>
      </w:r>
      <w:r w:rsidR="003C2BAD" w:rsidRPr="00232694">
        <w:rPr>
          <w:sz w:val="20"/>
        </w:rPr>
        <w:t xml:space="preserve"> (n°5) ; </w:t>
      </w:r>
      <w:r w:rsidR="003C2BAD" w:rsidRPr="00232694">
        <w:rPr>
          <w:i/>
          <w:sz w:val="20"/>
        </w:rPr>
        <w:t>La construction du politique</w:t>
      </w:r>
      <w:r w:rsidR="003C2BAD" w:rsidRPr="00232694">
        <w:rPr>
          <w:sz w:val="20"/>
        </w:rPr>
        <w:t xml:space="preserve"> (n°4).</w:t>
      </w:r>
    </w:p>
    <w:sectPr w:rsidR="003C2BAD" w:rsidRPr="00232694" w:rsidSect="00381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E3BB1"/>
    <w:rsid w:val="001257D1"/>
    <w:rsid w:val="001D1109"/>
    <w:rsid w:val="00232694"/>
    <w:rsid w:val="00303EFD"/>
    <w:rsid w:val="00381846"/>
    <w:rsid w:val="003C2BAD"/>
    <w:rsid w:val="003D3444"/>
    <w:rsid w:val="005707B9"/>
    <w:rsid w:val="005E3BB1"/>
    <w:rsid w:val="00680265"/>
    <w:rsid w:val="00911927"/>
    <w:rsid w:val="009810BB"/>
    <w:rsid w:val="00AA79E2"/>
    <w:rsid w:val="00B030CC"/>
    <w:rsid w:val="00B15022"/>
    <w:rsid w:val="00BD0060"/>
    <w:rsid w:val="00F34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8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E3B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3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3BB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E3BB1"/>
    <w:rPr>
      <w:color w:val="0000FF" w:themeColor="hyperlink"/>
      <w:u w:val="single"/>
    </w:rPr>
  </w:style>
  <w:style w:type="paragraph" w:customStyle="1" w:styleId="PUL-bibliographie">
    <w:name w:val="PUL-bibliographie"/>
    <w:next w:val="Normal"/>
    <w:rsid w:val="00AA79E2"/>
    <w:pPr>
      <w:spacing w:after="120" w:line="250" w:lineRule="exact"/>
      <w:ind w:left="357" w:hanging="357"/>
      <w:jc w:val="both"/>
    </w:pPr>
    <w:rPr>
      <w:rFonts w:ascii="Times New Roman" w:eastAsia="Times" w:hAnsi="Times New Roman" w:cs="Times New Roman"/>
      <w:noProof/>
      <w:sz w:val="20"/>
      <w:szCs w:val="20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entin.martens@coleurope.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ephane.baele@fundp.ac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dac@revue-emulations.ne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revue-emulations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870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sbaele</dc:creator>
  <cp:lastModifiedBy>sbaele</cp:lastModifiedBy>
  <cp:revision>9</cp:revision>
  <dcterms:created xsi:type="dcterms:W3CDTF">2011-11-25T08:15:00Z</dcterms:created>
  <dcterms:modified xsi:type="dcterms:W3CDTF">2011-11-29T09:39:00Z</dcterms:modified>
</cp:coreProperties>
</file>