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FAA8" w14:textId="654A298F" w:rsidR="0004772F" w:rsidRPr="00972E83" w:rsidRDefault="0004772F" w:rsidP="0004772F">
      <w:pPr>
        <w:jc w:val="center"/>
        <w:rPr>
          <w:b/>
        </w:rPr>
      </w:pPr>
      <w:r w:rsidRPr="00972E83">
        <w:rPr>
          <w:b/>
        </w:rPr>
        <w:t xml:space="preserve">Séminaire </w:t>
      </w:r>
      <w:r w:rsidR="00B67C1C" w:rsidRPr="00972E83">
        <w:rPr>
          <w:b/>
        </w:rPr>
        <w:t>« </w:t>
      </w:r>
      <w:r w:rsidRPr="00972E83">
        <w:rPr>
          <w:b/>
        </w:rPr>
        <w:t>Performances culturelles du genre</w:t>
      </w:r>
      <w:r w:rsidR="00B67C1C" w:rsidRPr="00972E83">
        <w:rPr>
          <w:b/>
        </w:rPr>
        <w:t> »</w:t>
      </w:r>
    </w:p>
    <w:p w14:paraId="6C4B09CC" w14:textId="77777777" w:rsidR="00A00073" w:rsidRPr="00972E83" w:rsidRDefault="00A00073" w:rsidP="0004772F">
      <w:pPr>
        <w:jc w:val="center"/>
        <w:rPr>
          <w:b/>
          <w:sz w:val="22"/>
          <w:szCs w:val="22"/>
        </w:rPr>
      </w:pPr>
    </w:p>
    <w:p w14:paraId="5EAC2FD7" w14:textId="0EB42CBE" w:rsidR="00B67C1C" w:rsidRPr="00972E83" w:rsidRDefault="00B67C1C" w:rsidP="0004772F">
      <w:pPr>
        <w:jc w:val="center"/>
        <w:rPr>
          <w:sz w:val="20"/>
          <w:szCs w:val="20"/>
        </w:rPr>
      </w:pPr>
      <w:r w:rsidRPr="00972E83">
        <w:rPr>
          <w:sz w:val="20"/>
          <w:szCs w:val="20"/>
        </w:rPr>
        <w:t>Coordonné par</w:t>
      </w:r>
    </w:p>
    <w:p w14:paraId="75C0E71D" w14:textId="5E9140F3" w:rsidR="005874B7" w:rsidRPr="00972E83" w:rsidRDefault="00B67C1C" w:rsidP="00CB018D">
      <w:pPr>
        <w:jc w:val="center"/>
        <w:rPr>
          <w:sz w:val="20"/>
          <w:szCs w:val="20"/>
        </w:rPr>
      </w:pPr>
      <w:r w:rsidRPr="00972E83">
        <w:rPr>
          <w:sz w:val="20"/>
          <w:szCs w:val="20"/>
        </w:rPr>
        <w:t xml:space="preserve">Anne Castaing (CNRS/THALIM), </w:t>
      </w:r>
      <w:r w:rsidR="00C124BE" w:rsidRPr="00972E83">
        <w:rPr>
          <w:sz w:val="20"/>
          <w:szCs w:val="20"/>
        </w:rPr>
        <w:t xml:space="preserve">Tiziana </w:t>
      </w:r>
      <w:proofErr w:type="spellStart"/>
      <w:r w:rsidR="00C124BE" w:rsidRPr="00972E83">
        <w:rPr>
          <w:sz w:val="20"/>
          <w:szCs w:val="20"/>
        </w:rPr>
        <w:t>Leucci</w:t>
      </w:r>
      <w:proofErr w:type="spellEnd"/>
      <w:r w:rsidR="00C124BE" w:rsidRPr="00972E83">
        <w:rPr>
          <w:sz w:val="20"/>
          <w:szCs w:val="20"/>
        </w:rPr>
        <w:t xml:space="preserve"> (CNRS/CEIAS), </w:t>
      </w:r>
      <w:r w:rsidRPr="00972E83">
        <w:rPr>
          <w:sz w:val="20"/>
          <w:szCs w:val="20"/>
        </w:rPr>
        <w:t>Fanny Lignon</w:t>
      </w:r>
      <w:r w:rsidR="00D5068A" w:rsidRPr="00972E83">
        <w:rPr>
          <w:sz w:val="20"/>
          <w:szCs w:val="20"/>
        </w:rPr>
        <w:t xml:space="preserve"> (</w:t>
      </w:r>
      <w:proofErr w:type="spellStart"/>
      <w:r w:rsidR="00D5068A" w:rsidRPr="00972E83">
        <w:rPr>
          <w:sz w:val="20"/>
          <w:szCs w:val="20"/>
        </w:rPr>
        <w:t>Univ</w:t>
      </w:r>
      <w:proofErr w:type="spellEnd"/>
      <w:r w:rsidR="00D5068A" w:rsidRPr="00972E83">
        <w:rPr>
          <w:sz w:val="20"/>
          <w:szCs w:val="20"/>
        </w:rPr>
        <w:t>. Lyon 1/THALIM)</w:t>
      </w:r>
    </w:p>
    <w:p w14:paraId="63F1443A" w14:textId="77777777" w:rsidR="005874B7" w:rsidRPr="00972E83" w:rsidRDefault="005874B7" w:rsidP="005874B7">
      <w:pPr>
        <w:pStyle w:val="Default"/>
        <w:rPr>
          <w:sz w:val="20"/>
          <w:szCs w:val="20"/>
        </w:rPr>
      </w:pPr>
    </w:p>
    <w:p w14:paraId="6D3194C2" w14:textId="77777777" w:rsidR="00290B8F" w:rsidRPr="00972E83" w:rsidRDefault="00290B8F" w:rsidP="00290B8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72E83">
        <w:rPr>
          <w:rFonts w:asciiTheme="minorHAnsi" w:hAnsiTheme="minorHAnsi"/>
          <w:sz w:val="20"/>
          <w:szCs w:val="20"/>
        </w:rPr>
        <w:t xml:space="preserve">Le séminaire aura lieu le </w:t>
      </w:r>
      <w:r w:rsidRPr="00972E83">
        <w:rPr>
          <w:rFonts w:asciiTheme="minorHAnsi" w:hAnsiTheme="minorHAnsi"/>
          <w:b/>
          <w:sz w:val="20"/>
          <w:szCs w:val="20"/>
        </w:rPr>
        <w:t>vendredi de 14h à 17h</w:t>
      </w:r>
      <w:r w:rsidRPr="00972E83">
        <w:rPr>
          <w:rFonts w:asciiTheme="minorHAnsi" w:hAnsiTheme="minorHAnsi"/>
          <w:sz w:val="20"/>
          <w:szCs w:val="20"/>
        </w:rPr>
        <w:t xml:space="preserve">, une fois par mois, dans deux sites : </w:t>
      </w:r>
    </w:p>
    <w:p w14:paraId="2224D8EE" w14:textId="77777777" w:rsidR="00290B8F" w:rsidRPr="00F3209C" w:rsidRDefault="00290B8F" w:rsidP="00290B8F">
      <w:pPr>
        <w:jc w:val="center"/>
        <w:rPr>
          <w:rFonts w:eastAsia="Times New Roman" w:cs="Times New Roman"/>
          <w:b/>
          <w:sz w:val="20"/>
          <w:szCs w:val="20"/>
        </w:rPr>
      </w:pPr>
      <w:r w:rsidRPr="00F3209C">
        <w:rPr>
          <w:b/>
          <w:sz w:val="20"/>
          <w:szCs w:val="20"/>
        </w:rPr>
        <w:t>CEIAS</w:t>
      </w:r>
      <w:r w:rsidRPr="00972E83">
        <w:rPr>
          <w:sz w:val="20"/>
          <w:szCs w:val="20"/>
        </w:rPr>
        <w:t xml:space="preserve"> (Salle 640), </w:t>
      </w:r>
      <w:r w:rsidRPr="00972E83">
        <w:rPr>
          <w:rFonts w:eastAsia="Times New Roman" w:cs="Times New Roman"/>
          <w:sz w:val="20"/>
          <w:szCs w:val="20"/>
        </w:rPr>
        <w:t>190-198 avenue de France 75013 Paris, France (6</w:t>
      </w:r>
      <w:r w:rsidRPr="00972E83">
        <w:rPr>
          <w:rFonts w:eastAsia="Times New Roman" w:cs="Times New Roman"/>
          <w:sz w:val="20"/>
          <w:szCs w:val="20"/>
          <w:vertAlign w:val="superscript"/>
        </w:rPr>
        <w:t>e</w:t>
      </w:r>
      <w:r w:rsidRPr="00972E83">
        <w:rPr>
          <w:rFonts w:eastAsia="Times New Roman" w:cs="Times New Roman"/>
          <w:sz w:val="20"/>
          <w:szCs w:val="20"/>
        </w:rPr>
        <w:t xml:space="preserve"> étage)</w:t>
      </w:r>
    </w:p>
    <w:p w14:paraId="7AA2DF13" w14:textId="77777777" w:rsidR="00290B8F" w:rsidRPr="00972E83" w:rsidRDefault="00290B8F" w:rsidP="00290B8F">
      <w:pPr>
        <w:jc w:val="center"/>
        <w:rPr>
          <w:sz w:val="20"/>
          <w:szCs w:val="20"/>
        </w:rPr>
      </w:pPr>
      <w:r w:rsidRPr="00F3209C">
        <w:rPr>
          <w:b/>
          <w:sz w:val="20"/>
          <w:szCs w:val="20"/>
        </w:rPr>
        <w:t>INHA</w:t>
      </w:r>
      <w:r w:rsidRPr="00972E83">
        <w:rPr>
          <w:sz w:val="20"/>
          <w:szCs w:val="20"/>
        </w:rPr>
        <w:t>, 2 rue Vivienne, 75002 Paris</w:t>
      </w:r>
    </w:p>
    <w:p w14:paraId="3BB4CA69" w14:textId="117E0AB0" w:rsidR="0004772F" w:rsidRPr="00972E83" w:rsidRDefault="0004772F" w:rsidP="0004772F">
      <w:pPr>
        <w:rPr>
          <w:b/>
          <w:sz w:val="20"/>
          <w:szCs w:val="20"/>
        </w:rPr>
      </w:pPr>
    </w:p>
    <w:p w14:paraId="5EF83F3B" w14:textId="289C6544" w:rsidR="00201363" w:rsidRPr="00972E83" w:rsidRDefault="00E43ABF" w:rsidP="00201363">
      <w:pPr>
        <w:ind w:firstLine="708"/>
        <w:jc w:val="both"/>
        <w:rPr>
          <w:sz w:val="20"/>
          <w:szCs w:val="20"/>
        </w:rPr>
      </w:pPr>
      <w:r w:rsidRPr="00972E83">
        <w:rPr>
          <w:sz w:val="20"/>
          <w:szCs w:val="20"/>
        </w:rPr>
        <w:t>E</w:t>
      </w:r>
      <w:r w:rsidR="00201363" w:rsidRPr="00972E83">
        <w:rPr>
          <w:sz w:val="20"/>
          <w:szCs w:val="20"/>
        </w:rPr>
        <w:t xml:space="preserve">n conclusion de </w:t>
      </w:r>
      <w:r w:rsidR="00201363" w:rsidRPr="00972E83">
        <w:rPr>
          <w:i/>
          <w:sz w:val="20"/>
          <w:szCs w:val="20"/>
        </w:rPr>
        <w:t>Trouble dans le genre</w:t>
      </w:r>
      <w:r w:rsidR="00201363" w:rsidRPr="00972E83">
        <w:rPr>
          <w:sz w:val="20"/>
          <w:szCs w:val="20"/>
        </w:rPr>
        <w:t xml:space="preserve"> (1990), Judith Butler déploie un concept crucial pour les études de genre, celui de la </w:t>
      </w:r>
      <w:r w:rsidR="00201363" w:rsidRPr="00972E83">
        <w:rPr>
          <w:i/>
          <w:sz w:val="20"/>
          <w:szCs w:val="20"/>
        </w:rPr>
        <w:t>performance</w:t>
      </w:r>
      <w:r w:rsidR="00201363" w:rsidRPr="00972E83">
        <w:rPr>
          <w:sz w:val="20"/>
          <w:szCs w:val="20"/>
        </w:rPr>
        <w:t> : lieu où se déroule, où se construit et où</w:t>
      </w:r>
      <w:r w:rsidR="004E0DAA" w:rsidRPr="00972E83">
        <w:rPr>
          <w:sz w:val="20"/>
          <w:szCs w:val="20"/>
        </w:rPr>
        <w:t xml:space="preserve"> se défait l’identité du sujet, il est aussi le lieu</w:t>
      </w:r>
      <w:r w:rsidRPr="00972E83">
        <w:rPr>
          <w:sz w:val="20"/>
          <w:szCs w:val="20"/>
        </w:rPr>
        <w:t xml:space="preserve"> de l’épanouissement de cette</w:t>
      </w:r>
      <w:r w:rsidR="00742AEA" w:rsidRPr="00972E83">
        <w:rPr>
          <w:sz w:val="20"/>
          <w:szCs w:val="20"/>
        </w:rPr>
        <w:t xml:space="preserve"> « boucle infinie </w:t>
      </w:r>
      <w:r w:rsidR="00D03CE1" w:rsidRPr="00972E83">
        <w:rPr>
          <w:sz w:val="20"/>
          <w:szCs w:val="20"/>
        </w:rPr>
        <w:t>»</w:t>
      </w:r>
      <w:r w:rsidRPr="00972E83">
        <w:rPr>
          <w:sz w:val="20"/>
          <w:szCs w:val="20"/>
        </w:rPr>
        <w:t xml:space="preserve"> constituée d'une</w:t>
      </w:r>
      <w:r w:rsidR="00201363" w:rsidRPr="00972E83">
        <w:rPr>
          <w:sz w:val="20"/>
          <w:szCs w:val="20"/>
        </w:rPr>
        <w:t xml:space="preserve"> multitude de ca</w:t>
      </w:r>
      <w:r w:rsidR="00ED59F9" w:rsidRPr="00972E83">
        <w:rPr>
          <w:sz w:val="20"/>
          <w:szCs w:val="20"/>
        </w:rPr>
        <w:t>ractéristiques et de prédicats —</w:t>
      </w:r>
      <w:r w:rsidR="00201363" w:rsidRPr="00972E83">
        <w:rPr>
          <w:sz w:val="20"/>
          <w:szCs w:val="20"/>
        </w:rPr>
        <w:t> </w:t>
      </w:r>
      <w:r w:rsidR="00742AEA" w:rsidRPr="00972E83">
        <w:rPr>
          <w:sz w:val="20"/>
          <w:szCs w:val="20"/>
        </w:rPr>
        <w:t>« </w:t>
      </w:r>
      <w:r w:rsidR="001D00FA" w:rsidRPr="00972E83">
        <w:rPr>
          <w:sz w:val="20"/>
          <w:szCs w:val="20"/>
        </w:rPr>
        <w:t xml:space="preserve">la </w:t>
      </w:r>
      <w:r w:rsidR="00201363" w:rsidRPr="00972E83">
        <w:rPr>
          <w:sz w:val="20"/>
          <w:szCs w:val="20"/>
        </w:rPr>
        <w:t xml:space="preserve">couleur, </w:t>
      </w:r>
      <w:r w:rsidR="001D00FA" w:rsidRPr="00972E83">
        <w:rPr>
          <w:sz w:val="20"/>
          <w:szCs w:val="20"/>
        </w:rPr>
        <w:t xml:space="preserve">la </w:t>
      </w:r>
      <w:r w:rsidRPr="00972E83">
        <w:rPr>
          <w:sz w:val="20"/>
          <w:szCs w:val="20"/>
        </w:rPr>
        <w:t xml:space="preserve">sexualité, </w:t>
      </w:r>
      <w:r w:rsidR="001D00FA" w:rsidRPr="00972E83">
        <w:rPr>
          <w:sz w:val="20"/>
          <w:szCs w:val="20"/>
        </w:rPr>
        <w:t>l’</w:t>
      </w:r>
      <w:r w:rsidRPr="00972E83">
        <w:rPr>
          <w:sz w:val="20"/>
          <w:szCs w:val="20"/>
        </w:rPr>
        <w:t xml:space="preserve">ethnicité, </w:t>
      </w:r>
      <w:r w:rsidR="001D00FA" w:rsidRPr="00972E83">
        <w:rPr>
          <w:sz w:val="20"/>
          <w:szCs w:val="20"/>
        </w:rPr>
        <w:t xml:space="preserve">la </w:t>
      </w:r>
      <w:r w:rsidRPr="00972E83">
        <w:rPr>
          <w:sz w:val="20"/>
          <w:szCs w:val="20"/>
        </w:rPr>
        <w:t>classe</w:t>
      </w:r>
      <w:r w:rsidR="00742AEA" w:rsidRPr="00972E83">
        <w:rPr>
          <w:sz w:val="20"/>
          <w:szCs w:val="20"/>
        </w:rPr>
        <w:t> </w:t>
      </w:r>
      <w:r w:rsidR="00D03CE1" w:rsidRPr="00972E83">
        <w:rPr>
          <w:sz w:val="20"/>
          <w:szCs w:val="20"/>
        </w:rPr>
        <w:t>(...)</w:t>
      </w:r>
      <w:r w:rsidR="00742AEA" w:rsidRPr="00972E83">
        <w:rPr>
          <w:sz w:val="20"/>
          <w:szCs w:val="20"/>
        </w:rPr>
        <w:t> </w:t>
      </w:r>
      <w:r w:rsidR="001D00FA" w:rsidRPr="00972E83">
        <w:rPr>
          <w:sz w:val="20"/>
          <w:szCs w:val="20"/>
        </w:rPr>
        <w:t>et les ‘</w:t>
      </w:r>
      <w:r w:rsidR="00201363" w:rsidRPr="00972E83">
        <w:rPr>
          <w:sz w:val="20"/>
          <w:szCs w:val="20"/>
        </w:rPr>
        <w:t>capacités physiques</w:t>
      </w:r>
      <w:r w:rsidR="001D00FA" w:rsidRPr="00972E83">
        <w:rPr>
          <w:sz w:val="20"/>
          <w:szCs w:val="20"/>
        </w:rPr>
        <w:t>’</w:t>
      </w:r>
      <w:r w:rsidR="00201363" w:rsidRPr="00972E83">
        <w:rPr>
          <w:sz w:val="20"/>
          <w:szCs w:val="20"/>
        </w:rPr>
        <w:t xml:space="preserve"> </w:t>
      </w:r>
      <w:r w:rsidR="00ED59F9" w:rsidRPr="00972E83">
        <w:rPr>
          <w:sz w:val="20"/>
          <w:szCs w:val="20"/>
        </w:rPr>
        <w:t>—</w:t>
      </w:r>
      <w:r w:rsidRPr="00972E83">
        <w:rPr>
          <w:sz w:val="20"/>
          <w:szCs w:val="20"/>
        </w:rPr>
        <w:t xml:space="preserve"> </w:t>
      </w:r>
      <w:r w:rsidR="00201363" w:rsidRPr="00972E83">
        <w:rPr>
          <w:sz w:val="20"/>
          <w:szCs w:val="20"/>
        </w:rPr>
        <w:t xml:space="preserve">qui finissent </w:t>
      </w:r>
      <w:r w:rsidR="004E0DAA" w:rsidRPr="00972E83">
        <w:rPr>
          <w:sz w:val="20"/>
          <w:szCs w:val="20"/>
        </w:rPr>
        <w:t>toutes sur</w:t>
      </w:r>
      <w:r w:rsidR="00201363" w:rsidRPr="00972E83">
        <w:rPr>
          <w:sz w:val="20"/>
          <w:szCs w:val="20"/>
        </w:rPr>
        <w:t xml:space="preserve"> un </w:t>
      </w:r>
      <w:r w:rsidR="00742AEA" w:rsidRPr="00972E83">
        <w:rPr>
          <w:i/>
          <w:sz w:val="20"/>
          <w:szCs w:val="20"/>
        </w:rPr>
        <w:t>etc</w:t>
      </w:r>
      <w:r w:rsidR="00742AEA" w:rsidRPr="00972E83">
        <w:rPr>
          <w:sz w:val="20"/>
          <w:szCs w:val="20"/>
        </w:rPr>
        <w:t>. embarrassé </w:t>
      </w:r>
      <w:r w:rsidR="00201363" w:rsidRPr="00972E83">
        <w:rPr>
          <w:sz w:val="20"/>
          <w:szCs w:val="20"/>
        </w:rPr>
        <w:t xml:space="preserve">». </w:t>
      </w:r>
      <w:r w:rsidR="00ED59F9" w:rsidRPr="00972E83">
        <w:rPr>
          <w:sz w:val="20"/>
          <w:szCs w:val="20"/>
        </w:rPr>
        <w:t xml:space="preserve">Un </w:t>
      </w:r>
      <w:r w:rsidR="00742AEA" w:rsidRPr="00972E83">
        <w:rPr>
          <w:sz w:val="20"/>
          <w:szCs w:val="20"/>
        </w:rPr>
        <w:t>« etc. embarrassé </w:t>
      </w:r>
      <w:r w:rsidR="00201363" w:rsidRPr="00972E83">
        <w:rPr>
          <w:sz w:val="20"/>
          <w:szCs w:val="20"/>
        </w:rPr>
        <w:t xml:space="preserve">» qui révèle, </w:t>
      </w:r>
      <w:r w:rsidR="006B5DDE" w:rsidRPr="00972E83">
        <w:rPr>
          <w:sz w:val="20"/>
          <w:szCs w:val="20"/>
        </w:rPr>
        <w:t>selon</w:t>
      </w:r>
      <w:r w:rsidR="00201363" w:rsidRPr="00972E83">
        <w:rPr>
          <w:sz w:val="20"/>
          <w:szCs w:val="20"/>
        </w:rPr>
        <w:t xml:space="preserve"> Butler, l’incapacité du langage à «</w:t>
      </w:r>
      <w:r w:rsidR="00742AEA" w:rsidRPr="00972E83">
        <w:rPr>
          <w:sz w:val="20"/>
          <w:szCs w:val="20"/>
        </w:rPr>
        <w:t> englober un sujet situé </w:t>
      </w:r>
      <w:r w:rsidR="00ED59F9" w:rsidRPr="00972E83">
        <w:rPr>
          <w:sz w:val="20"/>
          <w:szCs w:val="20"/>
        </w:rPr>
        <w:t xml:space="preserve">» et </w:t>
      </w:r>
      <w:r w:rsidR="00201363" w:rsidRPr="00972E83">
        <w:rPr>
          <w:sz w:val="20"/>
          <w:szCs w:val="20"/>
        </w:rPr>
        <w:t xml:space="preserve">se traduit chez </w:t>
      </w:r>
      <w:proofErr w:type="spellStart"/>
      <w:r w:rsidR="00201363" w:rsidRPr="00972E83">
        <w:rPr>
          <w:sz w:val="20"/>
          <w:szCs w:val="20"/>
        </w:rPr>
        <w:t>Homi</w:t>
      </w:r>
      <w:proofErr w:type="spellEnd"/>
      <w:r w:rsidR="00201363" w:rsidRPr="00972E83">
        <w:rPr>
          <w:sz w:val="20"/>
          <w:szCs w:val="20"/>
        </w:rPr>
        <w:t xml:space="preserve"> </w:t>
      </w:r>
      <w:proofErr w:type="spellStart"/>
      <w:r w:rsidR="00201363" w:rsidRPr="00972E83">
        <w:rPr>
          <w:sz w:val="20"/>
          <w:szCs w:val="20"/>
        </w:rPr>
        <w:t>Bhabha</w:t>
      </w:r>
      <w:proofErr w:type="spellEnd"/>
      <w:r w:rsidR="00201363" w:rsidRPr="00972E83">
        <w:rPr>
          <w:sz w:val="20"/>
          <w:szCs w:val="20"/>
        </w:rPr>
        <w:t xml:space="preserve">, </w:t>
      </w:r>
      <w:proofErr w:type="spellStart"/>
      <w:r w:rsidR="00201363" w:rsidRPr="00972E83">
        <w:rPr>
          <w:sz w:val="20"/>
          <w:szCs w:val="20"/>
        </w:rPr>
        <w:t>Mikhail</w:t>
      </w:r>
      <w:proofErr w:type="spellEnd"/>
      <w:r w:rsidR="00201363" w:rsidRPr="00972E83">
        <w:rPr>
          <w:sz w:val="20"/>
          <w:szCs w:val="20"/>
        </w:rPr>
        <w:t xml:space="preserve"> Bakhtine ou</w:t>
      </w:r>
      <w:r w:rsidRPr="00972E83">
        <w:rPr>
          <w:sz w:val="20"/>
          <w:szCs w:val="20"/>
        </w:rPr>
        <w:t xml:space="preserve"> bien encore </w:t>
      </w:r>
      <w:proofErr w:type="spellStart"/>
      <w:r w:rsidRPr="00972E83">
        <w:rPr>
          <w:sz w:val="20"/>
          <w:szCs w:val="20"/>
        </w:rPr>
        <w:t>Gayatri</w:t>
      </w:r>
      <w:proofErr w:type="spellEnd"/>
      <w:r w:rsidRPr="00972E83">
        <w:rPr>
          <w:sz w:val="20"/>
          <w:szCs w:val="20"/>
        </w:rPr>
        <w:t xml:space="preserve"> C. </w:t>
      </w:r>
      <w:proofErr w:type="spellStart"/>
      <w:r w:rsidRPr="00972E83">
        <w:rPr>
          <w:sz w:val="20"/>
          <w:szCs w:val="20"/>
        </w:rPr>
        <w:t>Spivak</w:t>
      </w:r>
      <w:proofErr w:type="spellEnd"/>
      <w:r w:rsidRPr="00972E83">
        <w:rPr>
          <w:sz w:val="20"/>
          <w:szCs w:val="20"/>
        </w:rPr>
        <w:t xml:space="preserve"> </w:t>
      </w:r>
      <w:r w:rsidR="00201363" w:rsidRPr="00972E83">
        <w:rPr>
          <w:sz w:val="20"/>
          <w:szCs w:val="20"/>
        </w:rPr>
        <w:t xml:space="preserve">par d’autres entrelacs complexes : ceux de la </w:t>
      </w:r>
      <w:r w:rsidR="00201363" w:rsidRPr="00972E83">
        <w:rPr>
          <w:i/>
          <w:sz w:val="20"/>
          <w:szCs w:val="20"/>
        </w:rPr>
        <w:t>culture</w:t>
      </w:r>
      <w:r w:rsidR="00201363" w:rsidRPr="00972E83">
        <w:rPr>
          <w:sz w:val="20"/>
          <w:szCs w:val="20"/>
        </w:rPr>
        <w:t xml:space="preserve"> du sujet ; sujet nourrit de signes, de rituels, de pratiques, mais sujet également </w:t>
      </w:r>
      <w:r w:rsidR="00201363" w:rsidRPr="00972E83">
        <w:rPr>
          <w:i/>
          <w:sz w:val="20"/>
          <w:szCs w:val="20"/>
        </w:rPr>
        <w:t>apte</w:t>
      </w:r>
      <w:r w:rsidR="00201363" w:rsidRPr="00972E83">
        <w:rPr>
          <w:sz w:val="20"/>
          <w:szCs w:val="20"/>
        </w:rPr>
        <w:t xml:space="preserve"> à s’en émanciper par la réappropriation même de ces signes, de ces rituels, de ces pratiques. </w:t>
      </w:r>
    </w:p>
    <w:p w14:paraId="749E98B1" w14:textId="47843608" w:rsidR="00201363" w:rsidRPr="00972E83" w:rsidRDefault="00201363" w:rsidP="00201363">
      <w:pPr>
        <w:ind w:firstLine="708"/>
        <w:jc w:val="both"/>
        <w:rPr>
          <w:sz w:val="20"/>
          <w:szCs w:val="20"/>
        </w:rPr>
      </w:pPr>
      <w:r w:rsidRPr="00972E83">
        <w:rPr>
          <w:sz w:val="20"/>
          <w:szCs w:val="20"/>
        </w:rPr>
        <w:t xml:space="preserve">Comment la performance </w:t>
      </w:r>
      <w:r w:rsidR="00A31F0D" w:rsidRPr="00972E83">
        <w:rPr>
          <w:sz w:val="20"/>
          <w:szCs w:val="20"/>
        </w:rPr>
        <w:t>orchestre</w:t>
      </w:r>
      <w:r w:rsidRPr="00972E83">
        <w:rPr>
          <w:sz w:val="20"/>
          <w:szCs w:val="20"/>
        </w:rPr>
        <w:t>-t-elle cette relation complexe du sujet à l’identité et à la culture ? La scène, celle des arts et de la littérature, mais également des médias ou du langage, est le lieu privilégié de la pratique comme du spectacle, du rituel culture</w:t>
      </w:r>
      <w:r w:rsidR="00D32A25" w:rsidRPr="00972E83">
        <w:rPr>
          <w:sz w:val="20"/>
          <w:szCs w:val="20"/>
        </w:rPr>
        <w:t>l comme de l’expérimentation</w:t>
      </w:r>
      <w:r w:rsidR="004E0DAA" w:rsidRPr="00972E83">
        <w:rPr>
          <w:sz w:val="20"/>
          <w:szCs w:val="20"/>
        </w:rPr>
        <w:t> ;</w:t>
      </w:r>
      <w:r w:rsidR="00D32A25" w:rsidRPr="00972E83">
        <w:rPr>
          <w:sz w:val="20"/>
          <w:szCs w:val="20"/>
        </w:rPr>
        <w:t xml:space="preserve"> </w:t>
      </w:r>
      <w:r w:rsidR="004E0DAA" w:rsidRPr="00972E83">
        <w:rPr>
          <w:sz w:val="20"/>
          <w:szCs w:val="20"/>
        </w:rPr>
        <w:t>l</w:t>
      </w:r>
      <w:r w:rsidR="00D03CE1" w:rsidRPr="00972E83">
        <w:rPr>
          <w:sz w:val="20"/>
          <w:szCs w:val="20"/>
        </w:rPr>
        <w:t>e lieu où</w:t>
      </w:r>
      <w:r w:rsidRPr="00972E83">
        <w:rPr>
          <w:sz w:val="20"/>
          <w:szCs w:val="20"/>
        </w:rPr>
        <w:t xml:space="preserve"> les identités se formulent, se composent, mais </w:t>
      </w:r>
      <w:r w:rsidR="00D32A25" w:rsidRPr="00972E83">
        <w:rPr>
          <w:sz w:val="20"/>
          <w:szCs w:val="20"/>
        </w:rPr>
        <w:t>aussi</w:t>
      </w:r>
      <w:r w:rsidRPr="00972E83">
        <w:rPr>
          <w:sz w:val="20"/>
          <w:szCs w:val="20"/>
        </w:rPr>
        <w:t xml:space="preserve"> se transgressent. </w:t>
      </w:r>
      <w:r w:rsidR="00D259A3" w:rsidRPr="00972E83">
        <w:rPr>
          <w:sz w:val="20"/>
          <w:szCs w:val="20"/>
        </w:rPr>
        <w:t>Elle</w:t>
      </w:r>
      <w:r w:rsidRPr="00972E83">
        <w:rPr>
          <w:sz w:val="20"/>
          <w:szCs w:val="20"/>
        </w:rPr>
        <w:t xml:space="preserve"> est le lieu où</w:t>
      </w:r>
      <w:r w:rsidR="00A31F0D" w:rsidRPr="00972E83">
        <w:rPr>
          <w:sz w:val="20"/>
          <w:szCs w:val="20"/>
        </w:rPr>
        <w:t xml:space="preserve"> le genre</w:t>
      </w:r>
      <w:r w:rsidRPr="00972E83">
        <w:rPr>
          <w:sz w:val="20"/>
          <w:szCs w:val="20"/>
        </w:rPr>
        <w:t xml:space="preserve"> </w:t>
      </w:r>
      <w:r w:rsidRPr="00972E83">
        <w:rPr>
          <w:i/>
          <w:sz w:val="20"/>
          <w:szCs w:val="20"/>
        </w:rPr>
        <w:t>s’expose</w:t>
      </w:r>
      <w:r w:rsidRPr="00972E83">
        <w:rPr>
          <w:sz w:val="20"/>
          <w:szCs w:val="20"/>
        </w:rPr>
        <w:t xml:space="preserve"> comme construction culturelle, mais où </w:t>
      </w:r>
      <w:r w:rsidR="00535365" w:rsidRPr="00972E83">
        <w:rPr>
          <w:sz w:val="20"/>
          <w:szCs w:val="20"/>
        </w:rPr>
        <w:t xml:space="preserve">s’exposent également </w:t>
      </w:r>
      <w:r w:rsidRPr="00972E83">
        <w:rPr>
          <w:sz w:val="20"/>
          <w:szCs w:val="20"/>
        </w:rPr>
        <w:t xml:space="preserve">les outils et les moyens de cette construction.   </w:t>
      </w:r>
    </w:p>
    <w:p w14:paraId="0354AB7A" w14:textId="045F7D14" w:rsidR="00201363" w:rsidRPr="00972E83" w:rsidRDefault="00201363" w:rsidP="00201363">
      <w:pPr>
        <w:ind w:firstLine="708"/>
        <w:jc w:val="both"/>
        <w:rPr>
          <w:sz w:val="20"/>
          <w:szCs w:val="20"/>
        </w:rPr>
      </w:pPr>
      <w:r w:rsidRPr="00972E83">
        <w:rPr>
          <w:sz w:val="20"/>
          <w:szCs w:val="20"/>
        </w:rPr>
        <w:t xml:space="preserve">Ce séminaire interdisciplinaire </w:t>
      </w:r>
      <w:r w:rsidR="008D77B5" w:rsidRPr="00972E83">
        <w:rPr>
          <w:sz w:val="20"/>
          <w:szCs w:val="20"/>
        </w:rPr>
        <w:t>se propose d'</w:t>
      </w:r>
      <w:r w:rsidRPr="00972E83">
        <w:rPr>
          <w:sz w:val="20"/>
          <w:szCs w:val="20"/>
        </w:rPr>
        <w:t>explorer di</w:t>
      </w:r>
      <w:r w:rsidR="00A074EA" w:rsidRPr="00972E83">
        <w:rPr>
          <w:sz w:val="20"/>
          <w:szCs w:val="20"/>
        </w:rPr>
        <w:t>fférents espaces, ‘lieux’</w:t>
      </w:r>
      <w:r w:rsidR="008D77B5" w:rsidRPr="00972E83">
        <w:rPr>
          <w:sz w:val="20"/>
          <w:szCs w:val="20"/>
        </w:rPr>
        <w:t xml:space="preserve"> et </w:t>
      </w:r>
      <w:r w:rsidR="00A074EA" w:rsidRPr="00972E83">
        <w:rPr>
          <w:sz w:val="20"/>
          <w:szCs w:val="20"/>
        </w:rPr>
        <w:t>‘lisières’</w:t>
      </w:r>
      <w:r w:rsidRPr="00972E83">
        <w:rPr>
          <w:sz w:val="20"/>
          <w:szCs w:val="20"/>
        </w:rPr>
        <w:t xml:space="preserve"> de la culture </w:t>
      </w:r>
      <w:r w:rsidRPr="00972E83">
        <w:rPr>
          <w:color w:val="000000" w:themeColor="text1"/>
          <w:sz w:val="20"/>
          <w:szCs w:val="20"/>
        </w:rPr>
        <w:t xml:space="preserve">pour penser le genre comme une </w:t>
      </w:r>
      <w:r w:rsidRPr="00972E83">
        <w:rPr>
          <w:i/>
          <w:color w:val="000000" w:themeColor="text1"/>
          <w:sz w:val="20"/>
          <w:szCs w:val="20"/>
        </w:rPr>
        <w:t>pratique singulière</w:t>
      </w:r>
      <w:r w:rsidR="00CF055C" w:rsidRPr="00972E83">
        <w:rPr>
          <w:i/>
          <w:color w:val="000000" w:themeColor="text1"/>
          <w:sz w:val="20"/>
          <w:szCs w:val="20"/>
        </w:rPr>
        <w:t xml:space="preserve"> et mouvante</w:t>
      </w:r>
      <w:r w:rsidRPr="00972E83">
        <w:rPr>
          <w:color w:val="000000" w:themeColor="text1"/>
          <w:sz w:val="20"/>
          <w:szCs w:val="20"/>
        </w:rPr>
        <w:t xml:space="preserve"> et la performance comme son espace de prédilection. A travers </w:t>
      </w:r>
      <w:r w:rsidR="00D563B2" w:rsidRPr="00972E83">
        <w:rPr>
          <w:color w:val="000000" w:themeColor="text1"/>
          <w:sz w:val="20"/>
          <w:szCs w:val="20"/>
        </w:rPr>
        <w:t>une pluralité de</w:t>
      </w:r>
      <w:r w:rsidRPr="00972E83">
        <w:rPr>
          <w:color w:val="000000" w:themeColor="text1"/>
          <w:sz w:val="20"/>
          <w:szCs w:val="20"/>
        </w:rPr>
        <w:t xml:space="preserve"> médias, </w:t>
      </w:r>
      <w:r w:rsidR="00D563B2" w:rsidRPr="00972E83">
        <w:rPr>
          <w:color w:val="000000" w:themeColor="text1"/>
          <w:sz w:val="20"/>
          <w:szCs w:val="20"/>
        </w:rPr>
        <w:t>d'approches</w:t>
      </w:r>
      <w:r w:rsidRPr="00972E83">
        <w:rPr>
          <w:color w:val="000000" w:themeColor="text1"/>
          <w:sz w:val="20"/>
          <w:szCs w:val="20"/>
        </w:rPr>
        <w:t xml:space="preserve"> et </w:t>
      </w:r>
      <w:r w:rsidR="00D563B2" w:rsidRPr="00972E83">
        <w:rPr>
          <w:color w:val="000000" w:themeColor="text1"/>
          <w:sz w:val="20"/>
          <w:szCs w:val="20"/>
        </w:rPr>
        <w:t xml:space="preserve">de </w:t>
      </w:r>
      <w:r w:rsidRPr="00972E83">
        <w:rPr>
          <w:color w:val="000000" w:themeColor="text1"/>
          <w:sz w:val="20"/>
          <w:szCs w:val="20"/>
        </w:rPr>
        <w:t xml:space="preserve">disciplines, </w:t>
      </w:r>
      <w:r w:rsidR="00B8727A" w:rsidRPr="00972E83">
        <w:rPr>
          <w:color w:val="000000" w:themeColor="text1"/>
          <w:sz w:val="20"/>
          <w:szCs w:val="20"/>
        </w:rPr>
        <w:t>il s'agira</w:t>
      </w:r>
      <w:r w:rsidR="00DA1B9F" w:rsidRPr="00972E83">
        <w:rPr>
          <w:color w:val="000000" w:themeColor="text1"/>
          <w:sz w:val="20"/>
          <w:szCs w:val="20"/>
        </w:rPr>
        <w:t xml:space="preserve"> </w:t>
      </w:r>
      <w:r w:rsidR="008D77B5" w:rsidRPr="00972E83">
        <w:rPr>
          <w:color w:val="000000" w:themeColor="text1"/>
          <w:sz w:val="20"/>
          <w:szCs w:val="20"/>
        </w:rPr>
        <w:t>d'</w:t>
      </w:r>
      <w:r w:rsidRPr="00972E83">
        <w:rPr>
          <w:color w:val="000000" w:themeColor="text1"/>
          <w:sz w:val="20"/>
          <w:szCs w:val="20"/>
        </w:rPr>
        <w:t>invite</w:t>
      </w:r>
      <w:r w:rsidR="008D77B5" w:rsidRPr="00972E83">
        <w:rPr>
          <w:color w:val="000000" w:themeColor="text1"/>
          <w:sz w:val="20"/>
          <w:szCs w:val="20"/>
        </w:rPr>
        <w:t>r</w:t>
      </w:r>
      <w:r w:rsidRPr="00972E83">
        <w:rPr>
          <w:color w:val="000000" w:themeColor="text1"/>
          <w:sz w:val="20"/>
          <w:szCs w:val="20"/>
        </w:rPr>
        <w:t xml:space="preserve"> à penser les effets et les spécificités de ces performances complexes, historicisées</w:t>
      </w:r>
      <w:r w:rsidRPr="00972E83">
        <w:rPr>
          <w:sz w:val="20"/>
          <w:szCs w:val="20"/>
        </w:rPr>
        <w:t xml:space="preserve"> et culturellement situées</w:t>
      </w:r>
      <w:r w:rsidR="009E6679" w:rsidRPr="00972E83">
        <w:rPr>
          <w:sz w:val="20"/>
          <w:szCs w:val="20"/>
        </w:rPr>
        <w:t>,</w:t>
      </w:r>
      <w:r w:rsidRPr="00972E83">
        <w:rPr>
          <w:sz w:val="20"/>
          <w:szCs w:val="20"/>
        </w:rPr>
        <w:t xml:space="preserve"> </w:t>
      </w:r>
      <w:r w:rsidR="00B8727A" w:rsidRPr="00972E83">
        <w:rPr>
          <w:sz w:val="20"/>
          <w:szCs w:val="20"/>
        </w:rPr>
        <w:t xml:space="preserve">pour observer ensuite </w:t>
      </w:r>
      <w:r w:rsidR="009330ED" w:rsidRPr="00972E83">
        <w:rPr>
          <w:sz w:val="20"/>
          <w:szCs w:val="20"/>
        </w:rPr>
        <w:t>la façon dont l</w:t>
      </w:r>
      <w:r w:rsidRPr="00972E83">
        <w:rPr>
          <w:sz w:val="20"/>
          <w:szCs w:val="20"/>
        </w:rPr>
        <w:t xml:space="preserve">e genre s’inscrit, se construit mais également </w:t>
      </w:r>
      <w:r w:rsidRPr="00972E83">
        <w:rPr>
          <w:i/>
          <w:sz w:val="20"/>
          <w:szCs w:val="20"/>
        </w:rPr>
        <w:t>se</w:t>
      </w:r>
      <w:r w:rsidRPr="00972E83">
        <w:rPr>
          <w:sz w:val="20"/>
          <w:szCs w:val="20"/>
        </w:rPr>
        <w:t xml:space="preserve"> </w:t>
      </w:r>
      <w:r w:rsidRPr="00972E83">
        <w:rPr>
          <w:i/>
          <w:sz w:val="20"/>
          <w:szCs w:val="20"/>
        </w:rPr>
        <w:t>déconstruit</w:t>
      </w:r>
      <w:r w:rsidRPr="00972E83">
        <w:rPr>
          <w:sz w:val="20"/>
          <w:szCs w:val="20"/>
        </w:rPr>
        <w:t xml:space="preserve"> </w:t>
      </w:r>
      <w:r w:rsidR="009330ED" w:rsidRPr="00972E83">
        <w:rPr>
          <w:sz w:val="20"/>
          <w:szCs w:val="20"/>
        </w:rPr>
        <w:t>dans les pratiques culturelles</w:t>
      </w:r>
      <w:r w:rsidR="0092106D" w:rsidRPr="00972E83">
        <w:rPr>
          <w:sz w:val="20"/>
          <w:szCs w:val="20"/>
        </w:rPr>
        <w:t>,</w:t>
      </w:r>
      <w:r w:rsidR="00B8727A" w:rsidRPr="00972E83">
        <w:rPr>
          <w:sz w:val="20"/>
          <w:szCs w:val="20"/>
        </w:rPr>
        <w:t xml:space="preserve"> </w:t>
      </w:r>
      <w:r w:rsidR="00982B9F" w:rsidRPr="00972E83">
        <w:rPr>
          <w:sz w:val="20"/>
          <w:szCs w:val="20"/>
        </w:rPr>
        <w:t>où</w:t>
      </w:r>
      <w:r w:rsidRPr="00972E83">
        <w:rPr>
          <w:sz w:val="20"/>
          <w:szCs w:val="20"/>
        </w:rPr>
        <w:t xml:space="preserve"> les identités de genre se négocient</w:t>
      </w:r>
      <w:r w:rsidR="00CF055C" w:rsidRPr="00972E83">
        <w:rPr>
          <w:sz w:val="20"/>
          <w:szCs w:val="20"/>
        </w:rPr>
        <w:t xml:space="preserve"> et s’articulent</w:t>
      </w:r>
      <w:r w:rsidRPr="00972E83">
        <w:rPr>
          <w:sz w:val="20"/>
          <w:szCs w:val="20"/>
        </w:rPr>
        <w:t xml:space="preserve"> au prisme de leur ancrage</w:t>
      </w:r>
      <w:r w:rsidR="00B8727A" w:rsidRPr="00972E83">
        <w:rPr>
          <w:sz w:val="20"/>
          <w:szCs w:val="20"/>
        </w:rPr>
        <w:t xml:space="preserve">. </w:t>
      </w:r>
      <w:r w:rsidR="00982B9F" w:rsidRPr="00972E83">
        <w:rPr>
          <w:sz w:val="20"/>
          <w:szCs w:val="20"/>
        </w:rPr>
        <w:t>Enfin, i</w:t>
      </w:r>
      <w:r w:rsidR="00B8727A" w:rsidRPr="00972E83">
        <w:rPr>
          <w:sz w:val="20"/>
          <w:szCs w:val="20"/>
        </w:rPr>
        <w:t xml:space="preserve">l s'agira d'analyser </w:t>
      </w:r>
      <w:r w:rsidR="009330ED" w:rsidRPr="00972E83">
        <w:rPr>
          <w:sz w:val="20"/>
          <w:szCs w:val="20"/>
        </w:rPr>
        <w:t>comment</w:t>
      </w:r>
      <w:r w:rsidRPr="00972E83">
        <w:rPr>
          <w:sz w:val="20"/>
          <w:szCs w:val="20"/>
        </w:rPr>
        <w:t xml:space="preserve"> le genre et sa performance témoignent de</w:t>
      </w:r>
      <w:r w:rsidR="00EB5EDB" w:rsidRPr="00972E83">
        <w:rPr>
          <w:sz w:val="20"/>
          <w:szCs w:val="20"/>
        </w:rPr>
        <w:t>s</w:t>
      </w:r>
      <w:r w:rsidRPr="00972E83">
        <w:rPr>
          <w:sz w:val="20"/>
          <w:szCs w:val="20"/>
        </w:rPr>
        <w:t xml:space="preserve"> culture</w:t>
      </w:r>
      <w:r w:rsidR="00EB5EDB" w:rsidRPr="00972E83">
        <w:rPr>
          <w:sz w:val="20"/>
          <w:szCs w:val="20"/>
        </w:rPr>
        <w:t>s</w:t>
      </w:r>
      <w:r w:rsidR="00982B9F" w:rsidRPr="00972E83">
        <w:rPr>
          <w:sz w:val="20"/>
          <w:szCs w:val="20"/>
        </w:rPr>
        <w:t xml:space="preserve"> et</w:t>
      </w:r>
      <w:r w:rsidRPr="00972E83">
        <w:rPr>
          <w:sz w:val="20"/>
          <w:szCs w:val="20"/>
        </w:rPr>
        <w:t xml:space="preserve"> de</w:t>
      </w:r>
      <w:r w:rsidR="00EB5EDB" w:rsidRPr="00972E83">
        <w:rPr>
          <w:sz w:val="20"/>
          <w:szCs w:val="20"/>
        </w:rPr>
        <w:t>s</w:t>
      </w:r>
      <w:r w:rsidRPr="00972E83">
        <w:rPr>
          <w:sz w:val="20"/>
          <w:szCs w:val="20"/>
        </w:rPr>
        <w:t xml:space="preserve"> modes de construction, de domination </w:t>
      </w:r>
      <w:r w:rsidR="00EB5EDB" w:rsidRPr="00972E83">
        <w:rPr>
          <w:sz w:val="20"/>
          <w:szCs w:val="20"/>
        </w:rPr>
        <w:t xml:space="preserve">mais également d’émancipation </w:t>
      </w:r>
      <w:r w:rsidR="004E0DAA" w:rsidRPr="00972E83">
        <w:rPr>
          <w:sz w:val="20"/>
          <w:szCs w:val="20"/>
        </w:rPr>
        <w:t>du sujet</w:t>
      </w:r>
      <w:r w:rsidR="00AF55E3" w:rsidRPr="00972E83">
        <w:rPr>
          <w:sz w:val="20"/>
          <w:szCs w:val="20"/>
        </w:rPr>
        <w:t>.</w:t>
      </w:r>
      <w:r w:rsidRPr="00972E83">
        <w:rPr>
          <w:sz w:val="20"/>
          <w:szCs w:val="20"/>
        </w:rPr>
        <w:t xml:space="preserve">  </w:t>
      </w:r>
    </w:p>
    <w:p w14:paraId="0B6588A8" w14:textId="77777777" w:rsidR="005874B7" w:rsidRPr="00972E83" w:rsidRDefault="005874B7" w:rsidP="00201363">
      <w:pPr>
        <w:ind w:firstLine="708"/>
        <w:jc w:val="both"/>
        <w:rPr>
          <w:sz w:val="20"/>
          <w:szCs w:val="20"/>
        </w:rPr>
      </w:pPr>
    </w:p>
    <w:p w14:paraId="51383E04" w14:textId="77777777" w:rsidR="005874B7" w:rsidRPr="001A494B" w:rsidRDefault="005874B7" w:rsidP="00201363">
      <w:pPr>
        <w:ind w:firstLine="708"/>
        <w:jc w:val="both"/>
        <w:rPr>
          <w:sz w:val="22"/>
          <w:szCs w:val="22"/>
        </w:rPr>
      </w:pPr>
    </w:p>
    <w:p w14:paraId="4BDF6B61" w14:textId="12CB3161" w:rsidR="00053051" w:rsidRPr="005A33CE" w:rsidRDefault="001A494B" w:rsidP="005874B7">
      <w:pPr>
        <w:jc w:val="both"/>
        <w:rPr>
          <w:sz w:val="20"/>
          <w:szCs w:val="20"/>
        </w:rPr>
      </w:pPr>
      <w:r w:rsidRPr="005A33CE">
        <w:rPr>
          <w:b/>
          <w:sz w:val="20"/>
          <w:szCs w:val="20"/>
        </w:rPr>
        <w:t>Programme</w:t>
      </w:r>
      <w:r w:rsidR="00053051" w:rsidRPr="005A33CE">
        <w:rPr>
          <w:sz w:val="20"/>
          <w:szCs w:val="20"/>
        </w:rPr>
        <w:t xml:space="preserve"> : </w:t>
      </w:r>
    </w:p>
    <w:p w14:paraId="02AF292A" w14:textId="77777777" w:rsidR="00053051" w:rsidRPr="005A33CE" w:rsidRDefault="00053051" w:rsidP="005874B7">
      <w:pPr>
        <w:jc w:val="both"/>
        <w:rPr>
          <w:sz w:val="20"/>
          <w:szCs w:val="20"/>
        </w:rPr>
      </w:pPr>
    </w:p>
    <w:p w14:paraId="0A059253" w14:textId="4C703C12" w:rsidR="00053051" w:rsidRPr="005A33CE" w:rsidRDefault="00053051" w:rsidP="007F56A1">
      <w:pPr>
        <w:jc w:val="both"/>
        <w:rPr>
          <w:sz w:val="20"/>
          <w:szCs w:val="20"/>
        </w:rPr>
      </w:pPr>
      <w:r w:rsidRPr="005A33CE">
        <w:rPr>
          <w:sz w:val="20"/>
          <w:szCs w:val="20"/>
        </w:rPr>
        <w:t xml:space="preserve">9 janvier (CEIAS) : </w:t>
      </w:r>
      <w:r w:rsidRPr="005A33CE">
        <w:rPr>
          <w:b/>
          <w:sz w:val="20"/>
          <w:szCs w:val="20"/>
        </w:rPr>
        <w:t>Xavier Garnier</w:t>
      </w:r>
      <w:r w:rsidRPr="005A33CE">
        <w:rPr>
          <w:sz w:val="20"/>
          <w:szCs w:val="20"/>
        </w:rPr>
        <w:t xml:space="preserve"> (</w:t>
      </w:r>
      <w:proofErr w:type="spellStart"/>
      <w:r w:rsidRPr="005A33CE">
        <w:rPr>
          <w:sz w:val="20"/>
          <w:szCs w:val="20"/>
        </w:rPr>
        <w:t>Univ</w:t>
      </w:r>
      <w:proofErr w:type="spellEnd"/>
      <w:r w:rsidRPr="005A33CE">
        <w:rPr>
          <w:sz w:val="20"/>
          <w:szCs w:val="20"/>
        </w:rPr>
        <w:t>. Sorbonne Nouvelle/THALIM)</w:t>
      </w:r>
    </w:p>
    <w:p w14:paraId="5A3F60C5" w14:textId="4CB261C0" w:rsidR="00053051" w:rsidRPr="005A33CE" w:rsidRDefault="00053051" w:rsidP="007F56A1">
      <w:pPr>
        <w:jc w:val="both"/>
        <w:rPr>
          <w:i/>
          <w:sz w:val="20"/>
          <w:szCs w:val="20"/>
        </w:rPr>
      </w:pPr>
      <w:r w:rsidRPr="005A33CE">
        <w:rPr>
          <w:i/>
          <w:sz w:val="20"/>
          <w:szCs w:val="20"/>
        </w:rPr>
        <w:t>Usages littéraires de l’</w:t>
      </w:r>
      <w:proofErr w:type="spellStart"/>
      <w:r w:rsidRPr="005A33CE">
        <w:rPr>
          <w:i/>
          <w:sz w:val="20"/>
          <w:szCs w:val="20"/>
        </w:rPr>
        <w:t>intersectionnalité</w:t>
      </w:r>
      <w:proofErr w:type="spellEnd"/>
      <w:r w:rsidRPr="005A33CE">
        <w:rPr>
          <w:i/>
          <w:sz w:val="20"/>
          <w:szCs w:val="20"/>
        </w:rPr>
        <w:t xml:space="preserve"> dans les études de genre</w:t>
      </w:r>
      <w:r w:rsidR="00874CC8" w:rsidRPr="005A33CE">
        <w:rPr>
          <w:i/>
          <w:sz w:val="20"/>
          <w:szCs w:val="20"/>
        </w:rPr>
        <w:t>.</w:t>
      </w:r>
    </w:p>
    <w:p w14:paraId="4B740BFA" w14:textId="77777777" w:rsidR="0078770C" w:rsidRPr="005A33CE" w:rsidRDefault="0078770C" w:rsidP="007F56A1">
      <w:pPr>
        <w:jc w:val="both"/>
        <w:rPr>
          <w:i/>
          <w:sz w:val="20"/>
          <w:szCs w:val="20"/>
        </w:rPr>
      </w:pPr>
    </w:p>
    <w:p w14:paraId="227F4144" w14:textId="65CFAE25" w:rsidR="000578B3" w:rsidRPr="005A33CE" w:rsidRDefault="000578B3" w:rsidP="007F56A1">
      <w:pPr>
        <w:jc w:val="both"/>
        <w:rPr>
          <w:sz w:val="20"/>
          <w:szCs w:val="20"/>
        </w:rPr>
      </w:pPr>
      <w:r w:rsidRPr="005A33CE">
        <w:rPr>
          <w:sz w:val="20"/>
          <w:szCs w:val="20"/>
        </w:rPr>
        <w:t xml:space="preserve">6 février (INHA) : </w:t>
      </w:r>
      <w:r w:rsidR="00BC4F65" w:rsidRPr="005A33CE">
        <w:rPr>
          <w:b/>
          <w:sz w:val="20"/>
          <w:szCs w:val="20"/>
        </w:rPr>
        <w:t xml:space="preserve">Mehdi </w:t>
      </w:r>
      <w:proofErr w:type="spellStart"/>
      <w:r w:rsidR="00BC4F65" w:rsidRPr="005A33CE">
        <w:rPr>
          <w:b/>
          <w:sz w:val="20"/>
          <w:szCs w:val="20"/>
        </w:rPr>
        <w:t>Derfoufi</w:t>
      </w:r>
      <w:proofErr w:type="spellEnd"/>
      <w:r w:rsidR="00BC4F65" w:rsidRPr="005A33CE">
        <w:rPr>
          <w:sz w:val="20"/>
          <w:szCs w:val="20"/>
        </w:rPr>
        <w:t xml:space="preserve"> (UNIL/</w:t>
      </w:r>
      <w:r w:rsidR="00166A51" w:rsidRPr="005A33CE">
        <w:rPr>
          <w:sz w:val="20"/>
          <w:szCs w:val="20"/>
        </w:rPr>
        <w:t>IRCAV)</w:t>
      </w:r>
    </w:p>
    <w:p w14:paraId="54BDF9C4" w14:textId="6C9935D0" w:rsidR="00874CC8" w:rsidRPr="005A33CE" w:rsidRDefault="00874CC8" w:rsidP="007F56A1">
      <w:pPr>
        <w:jc w:val="both"/>
        <w:rPr>
          <w:i/>
          <w:sz w:val="20"/>
          <w:szCs w:val="20"/>
        </w:rPr>
      </w:pPr>
      <w:r w:rsidRPr="005A33CE">
        <w:rPr>
          <w:rFonts w:cs="Times"/>
          <w:bCs/>
          <w:i/>
          <w:sz w:val="20"/>
          <w:szCs w:val="20"/>
        </w:rPr>
        <w:t>Omar Sharif, le Prince inquiet de nos désirs. Fabrication et mises en scène d'une masculinité arabe postcoloniale.</w:t>
      </w:r>
    </w:p>
    <w:p w14:paraId="06F78468" w14:textId="77777777" w:rsidR="000578B3" w:rsidRPr="005A33CE" w:rsidRDefault="000578B3" w:rsidP="007F56A1">
      <w:pPr>
        <w:jc w:val="both"/>
        <w:rPr>
          <w:sz w:val="20"/>
          <w:szCs w:val="20"/>
        </w:rPr>
      </w:pPr>
    </w:p>
    <w:p w14:paraId="3DFC5FD8" w14:textId="193C8EF1" w:rsidR="0078770C" w:rsidRPr="005A33CE" w:rsidRDefault="000578B3" w:rsidP="007F56A1">
      <w:pPr>
        <w:jc w:val="both"/>
        <w:rPr>
          <w:sz w:val="20"/>
          <w:szCs w:val="20"/>
        </w:rPr>
      </w:pPr>
      <w:r w:rsidRPr="005A33CE">
        <w:rPr>
          <w:sz w:val="20"/>
          <w:szCs w:val="20"/>
        </w:rPr>
        <w:t>13 mars (INHA) :</w:t>
      </w:r>
      <w:r w:rsidR="00CB018D" w:rsidRPr="005A33CE">
        <w:rPr>
          <w:sz w:val="20"/>
          <w:szCs w:val="20"/>
        </w:rPr>
        <w:t xml:space="preserve"> </w:t>
      </w:r>
      <w:r w:rsidR="00CB018D" w:rsidRPr="005A33CE">
        <w:rPr>
          <w:b/>
          <w:sz w:val="20"/>
          <w:szCs w:val="20"/>
        </w:rPr>
        <w:t xml:space="preserve">Hélène </w:t>
      </w:r>
      <w:proofErr w:type="spellStart"/>
      <w:r w:rsidR="00CB018D" w:rsidRPr="005A33CE">
        <w:rPr>
          <w:b/>
          <w:sz w:val="20"/>
          <w:szCs w:val="20"/>
        </w:rPr>
        <w:t>Marquié</w:t>
      </w:r>
      <w:proofErr w:type="spellEnd"/>
      <w:r w:rsidR="00CB018D" w:rsidRPr="005A33CE">
        <w:rPr>
          <w:sz w:val="20"/>
          <w:szCs w:val="20"/>
        </w:rPr>
        <w:t xml:space="preserve"> (</w:t>
      </w:r>
      <w:proofErr w:type="spellStart"/>
      <w:r w:rsidR="00CB018D" w:rsidRPr="005A33CE">
        <w:rPr>
          <w:sz w:val="20"/>
          <w:szCs w:val="20"/>
        </w:rPr>
        <w:t>Univ</w:t>
      </w:r>
      <w:proofErr w:type="spellEnd"/>
      <w:r w:rsidR="00CB018D" w:rsidRPr="005A33CE">
        <w:rPr>
          <w:sz w:val="20"/>
          <w:szCs w:val="20"/>
        </w:rPr>
        <w:t>. Paris 8)</w:t>
      </w:r>
    </w:p>
    <w:p w14:paraId="0B961F54" w14:textId="5EFBCFB8" w:rsidR="00CB018D" w:rsidRPr="005A33CE" w:rsidRDefault="00CB018D" w:rsidP="007F56A1">
      <w:pPr>
        <w:jc w:val="both"/>
        <w:rPr>
          <w:i/>
          <w:sz w:val="20"/>
          <w:szCs w:val="20"/>
        </w:rPr>
      </w:pPr>
      <w:r w:rsidRPr="005A33CE">
        <w:rPr>
          <w:rFonts w:eastAsia="Times New Roman" w:cs="Times New Roman"/>
          <w:bCs/>
          <w:i/>
          <w:color w:val="000000"/>
          <w:sz w:val="20"/>
          <w:szCs w:val="20"/>
        </w:rPr>
        <w:t xml:space="preserve">Enjeux et conséquences d’une histoire </w:t>
      </w:r>
      <w:proofErr w:type="spellStart"/>
      <w:r w:rsidRPr="005A33CE">
        <w:rPr>
          <w:rFonts w:eastAsia="Times New Roman" w:cs="Times New Roman"/>
          <w:bCs/>
          <w:i/>
          <w:color w:val="000000"/>
          <w:sz w:val="20"/>
          <w:szCs w:val="20"/>
        </w:rPr>
        <w:t>genrée</w:t>
      </w:r>
      <w:proofErr w:type="spellEnd"/>
      <w:r w:rsidRPr="005A33CE">
        <w:rPr>
          <w:rFonts w:eastAsia="Times New Roman" w:cs="Times New Roman"/>
          <w:bCs/>
          <w:i/>
          <w:color w:val="000000"/>
          <w:sz w:val="20"/>
          <w:szCs w:val="20"/>
        </w:rPr>
        <w:t xml:space="preserve"> de la danse. L’exemple de la prise en compte de quelques figures effacées de la Belle Époque.</w:t>
      </w:r>
    </w:p>
    <w:p w14:paraId="37CD9191" w14:textId="77777777" w:rsidR="000578B3" w:rsidRPr="005A33CE" w:rsidRDefault="000578B3" w:rsidP="007F56A1">
      <w:pPr>
        <w:jc w:val="both"/>
        <w:rPr>
          <w:sz w:val="20"/>
          <w:szCs w:val="20"/>
        </w:rPr>
      </w:pPr>
    </w:p>
    <w:p w14:paraId="16DAF398" w14:textId="606DC71E" w:rsidR="00972E83" w:rsidRPr="005A33CE" w:rsidRDefault="000578B3" w:rsidP="007F56A1">
      <w:pPr>
        <w:jc w:val="both"/>
        <w:rPr>
          <w:sz w:val="20"/>
          <w:szCs w:val="20"/>
        </w:rPr>
      </w:pPr>
      <w:r w:rsidRPr="005A33CE">
        <w:rPr>
          <w:sz w:val="20"/>
          <w:szCs w:val="20"/>
        </w:rPr>
        <w:t>10 avril (INHA) :</w:t>
      </w:r>
      <w:r w:rsidR="00972E83" w:rsidRPr="005A33CE">
        <w:rPr>
          <w:sz w:val="20"/>
          <w:szCs w:val="20"/>
        </w:rPr>
        <w:t xml:space="preserve"> </w:t>
      </w:r>
      <w:r w:rsidR="00972E83" w:rsidRPr="005A33CE">
        <w:rPr>
          <w:b/>
          <w:sz w:val="20"/>
          <w:szCs w:val="20"/>
        </w:rPr>
        <w:t xml:space="preserve">Nelly </w:t>
      </w:r>
      <w:proofErr w:type="spellStart"/>
      <w:r w:rsidR="00972E83" w:rsidRPr="005A33CE">
        <w:rPr>
          <w:b/>
          <w:sz w:val="20"/>
          <w:szCs w:val="20"/>
        </w:rPr>
        <w:t>Quemener</w:t>
      </w:r>
      <w:proofErr w:type="spellEnd"/>
      <w:r w:rsidR="00972E83" w:rsidRPr="005A33CE">
        <w:rPr>
          <w:sz w:val="20"/>
          <w:szCs w:val="20"/>
        </w:rPr>
        <w:t xml:space="preserve"> (</w:t>
      </w:r>
      <w:proofErr w:type="spellStart"/>
      <w:r w:rsidR="00972E83" w:rsidRPr="005A33CE">
        <w:rPr>
          <w:sz w:val="20"/>
          <w:szCs w:val="20"/>
        </w:rPr>
        <w:t>Univ</w:t>
      </w:r>
      <w:proofErr w:type="spellEnd"/>
      <w:r w:rsidR="00972E83" w:rsidRPr="005A33CE">
        <w:rPr>
          <w:sz w:val="20"/>
          <w:szCs w:val="20"/>
        </w:rPr>
        <w:t>. Sorbonne Nouvelle/CIM)</w:t>
      </w:r>
    </w:p>
    <w:p w14:paraId="58E8E780" w14:textId="5AABA63A" w:rsidR="000578B3" w:rsidRPr="005A33CE" w:rsidRDefault="00972E83" w:rsidP="007F56A1">
      <w:pPr>
        <w:jc w:val="both"/>
        <w:rPr>
          <w:i/>
          <w:sz w:val="20"/>
          <w:szCs w:val="20"/>
        </w:rPr>
      </w:pPr>
      <w:r w:rsidRPr="005A33CE">
        <w:rPr>
          <w:rFonts w:eastAsia="Times New Roman" w:cs="Times New Roman"/>
          <w:i/>
          <w:sz w:val="20"/>
          <w:szCs w:val="20"/>
        </w:rPr>
        <w:t>Les apports des notions de performance et de performativité pour l'étude des représentations médiatiques</w:t>
      </w:r>
      <w:r w:rsidR="009E5F5E" w:rsidRPr="005A33CE">
        <w:rPr>
          <w:rFonts w:eastAsia="Times New Roman" w:cs="Times New Roman"/>
          <w:i/>
          <w:sz w:val="20"/>
          <w:szCs w:val="20"/>
        </w:rPr>
        <w:t>.</w:t>
      </w:r>
    </w:p>
    <w:p w14:paraId="5169415F" w14:textId="77777777" w:rsidR="000578B3" w:rsidRPr="005A33CE" w:rsidRDefault="000578B3" w:rsidP="007F56A1">
      <w:pPr>
        <w:jc w:val="both"/>
        <w:rPr>
          <w:sz w:val="20"/>
          <w:szCs w:val="20"/>
        </w:rPr>
      </w:pPr>
    </w:p>
    <w:p w14:paraId="5DBD03DF" w14:textId="780A4BF5" w:rsidR="000578B3" w:rsidRPr="005A33CE" w:rsidRDefault="000578B3" w:rsidP="007F56A1">
      <w:pPr>
        <w:jc w:val="both"/>
        <w:rPr>
          <w:sz w:val="20"/>
          <w:szCs w:val="20"/>
        </w:rPr>
      </w:pPr>
      <w:r w:rsidRPr="005A33CE">
        <w:rPr>
          <w:sz w:val="20"/>
          <w:szCs w:val="20"/>
        </w:rPr>
        <w:t xml:space="preserve">22 mai (CEIAS) : </w:t>
      </w:r>
      <w:proofErr w:type="spellStart"/>
      <w:r w:rsidR="009E5F5E" w:rsidRPr="005A33CE">
        <w:rPr>
          <w:b/>
          <w:sz w:val="20"/>
          <w:szCs w:val="20"/>
        </w:rPr>
        <w:t>Davesh</w:t>
      </w:r>
      <w:proofErr w:type="spellEnd"/>
      <w:r w:rsidR="009E5F5E" w:rsidRPr="005A33CE">
        <w:rPr>
          <w:b/>
          <w:sz w:val="20"/>
          <w:szCs w:val="20"/>
        </w:rPr>
        <w:t xml:space="preserve"> </w:t>
      </w:r>
      <w:proofErr w:type="spellStart"/>
      <w:r w:rsidR="009E5F5E" w:rsidRPr="005A33CE">
        <w:rPr>
          <w:b/>
          <w:sz w:val="20"/>
          <w:szCs w:val="20"/>
        </w:rPr>
        <w:t>Soneji</w:t>
      </w:r>
      <w:proofErr w:type="spellEnd"/>
      <w:r w:rsidR="009E5F5E" w:rsidRPr="005A33CE">
        <w:rPr>
          <w:sz w:val="20"/>
          <w:szCs w:val="20"/>
        </w:rPr>
        <w:t xml:space="preserve"> (McGill </w:t>
      </w:r>
      <w:proofErr w:type="spellStart"/>
      <w:r w:rsidR="009E5F5E" w:rsidRPr="005A33CE">
        <w:rPr>
          <w:sz w:val="20"/>
          <w:szCs w:val="20"/>
        </w:rPr>
        <w:t>University</w:t>
      </w:r>
      <w:proofErr w:type="spellEnd"/>
      <w:r w:rsidR="009E5F5E" w:rsidRPr="005A33CE">
        <w:rPr>
          <w:sz w:val="20"/>
          <w:szCs w:val="20"/>
        </w:rPr>
        <w:t>)</w:t>
      </w:r>
    </w:p>
    <w:p w14:paraId="3E10DDB5" w14:textId="28162B38" w:rsidR="009E5F5E" w:rsidRPr="005A33CE" w:rsidRDefault="009E5F5E" w:rsidP="007F56A1">
      <w:pPr>
        <w:jc w:val="both"/>
        <w:rPr>
          <w:i/>
          <w:sz w:val="20"/>
          <w:szCs w:val="20"/>
        </w:rPr>
      </w:pPr>
      <w:r w:rsidRPr="005A33CE">
        <w:rPr>
          <w:rFonts w:eastAsia="Times New Roman" w:cs="Times New Roman"/>
          <w:i/>
          <w:sz w:val="20"/>
          <w:szCs w:val="20"/>
          <w:lang w:val="en-US"/>
        </w:rPr>
        <w:t xml:space="preserve">Illicit Sexuality and the Politics of Movement: Dance and the </w:t>
      </w:r>
      <w:proofErr w:type="spellStart"/>
      <w:r w:rsidRPr="005A33CE">
        <w:rPr>
          <w:rFonts w:eastAsia="Times New Roman" w:cs="Times New Roman"/>
          <w:i/>
          <w:iCs/>
          <w:sz w:val="20"/>
          <w:szCs w:val="20"/>
          <w:lang w:val="en-US"/>
        </w:rPr>
        <w:t>Kalāvantula</w:t>
      </w:r>
      <w:proofErr w:type="spellEnd"/>
      <w:r w:rsidRPr="005A33CE">
        <w:rPr>
          <w:rFonts w:eastAsia="Times New Roman" w:cs="Times New Roman"/>
          <w:i/>
          <w:sz w:val="20"/>
          <w:szCs w:val="20"/>
          <w:lang w:val="en-US"/>
        </w:rPr>
        <w:t xml:space="preserve"> Performing Community in </w:t>
      </w:r>
      <w:proofErr w:type="gramStart"/>
      <w:r w:rsidRPr="005A33CE">
        <w:rPr>
          <w:rFonts w:eastAsia="Times New Roman" w:cs="Times New Roman"/>
          <w:i/>
          <w:sz w:val="20"/>
          <w:szCs w:val="20"/>
          <w:lang w:val="en-US"/>
        </w:rPr>
        <w:t>South  India</w:t>
      </w:r>
      <w:proofErr w:type="gramEnd"/>
    </w:p>
    <w:p w14:paraId="374A6BA9" w14:textId="77777777" w:rsidR="000578B3" w:rsidRPr="005A33CE" w:rsidRDefault="000578B3" w:rsidP="007F56A1">
      <w:pPr>
        <w:jc w:val="both"/>
        <w:rPr>
          <w:sz w:val="20"/>
          <w:szCs w:val="20"/>
        </w:rPr>
      </w:pPr>
    </w:p>
    <w:p w14:paraId="52B5E3F8" w14:textId="6C1D6AB4" w:rsidR="000578B3" w:rsidRPr="005A33CE" w:rsidRDefault="000578B3" w:rsidP="007F56A1">
      <w:pPr>
        <w:jc w:val="both"/>
        <w:rPr>
          <w:sz w:val="20"/>
          <w:szCs w:val="20"/>
        </w:rPr>
      </w:pPr>
      <w:r w:rsidRPr="005A33CE">
        <w:rPr>
          <w:sz w:val="20"/>
          <w:szCs w:val="20"/>
        </w:rPr>
        <w:t>12 juin (INHA) :</w:t>
      </w:r>
      <w:r w:rsidR="009E5F5E" w:rsidRPr="005A33CE">
        <w:rPr>
          <w:sz w:val="20"/>
          <w:szCs w:val="20"/>
        </w:rPr>
        <w:t xml:space="preserve"> </w:t>
      </w:r>
      <w:r w:rsidR="009E5F5E" w:rsidRPr="005A33CE">
        <w:rPr>
          <w:b/>
          <w:sz w:val="20"/>
          <w:szCs w:val="20"/>
        </w:rPr>
        <w:t xml:space="preserve">Mona </w:t>
      </w:r>
      <w:proofErr w:type="spellStart"/>
      <w:r w:rsidR="009E5F5E" w:rsidRPr="005A33CE">
        <w:rPr>
          <w:b/>
          <w:sz w:val="20"/>
          <w:szCs w:val="20"/>
        </w:rPr>
        <w:t>Zegaï</w:t>
      </w:r>
      <w:proofErr w:type="spellEnd"/>
      <w:r w:rsidR="009E5F5E" w:rsidRPr="005A33CE">
        <w:rPr>
          <w:sz w:val="20"/>
          <w:szCs w:val="20"/>
        </w:rPr>
        <w:t xml:space="preserve"> (</w:t>
      </w:r>
      <w:proofErr w:type="spellStart"/>
      <w:r w:rsidR="009E5F5E" w:rsidRPr="005A33CE">
        <w:rPr>
          <w:sz w:val="20"/>
          <w:szCs w:val="20"/>
        </w:rPr>
        <w:t>Univ</w:t>
      </w:r>
      <w:proofErr w:type="spellEnd"/>
      <w:r w:rsidR="009E5F5E" w:rsidRPr="005A33CE">
        <w:rPr>
          <w:sz w:val="20"/>
          <w:szCs w:val="20"/>
        </w:rPr>
        <w:t>. Paris 8/CRESPPA)</w:t>
      </w:r>
    </w:p>
    <w:p w14:paraId="00E98963" w14:textId="2F107A36" w:rsidR="009E5F5E" w:rsidRPr="005A33CE" w:rsidRDefault="009E5F5E" w:rsidP="007F56A1">
      <w:pPr>
        <w:jc w:val="both"/>
        <w:rPr>
          <w:i/>
          <w:sz w:val="20"/>
          <w:szCs w:val="20"/>
        </w:rPr>
      </w:pPr>
      <w:r w:rsidRPr="005A33CE">
        <w:rPr>
          <w:rFonts w:cs="Helvetica"/>
          <w:i/>
          <w:sz w:val="20"/>
          <w:szCs w:val="20"/>
        </w:rPr>
        <w:t>La présentation des déguisements dans le marketing du jouet comme outil d’inscription du genre dans les corps</w:t>
      </w:r>
      <w:r w:rsidR="005A33CE">
        <w:rPr>
          <w:rFonts w:cs="Helvetica"/>
          <w:i/>
          <w:sz w:val="20"/>
          <w:szCs w:val="20"/>
        </w:rPr>
        <w:t>.</w:t>
      </w:r>
    </w:p>
    <w:p w14:paraId="04AA2A39" w14:textId="77777777" w:rsidR="000578B3" w:rsidRPr="005A33CE" w:rsidRDefault="000578B3" w:rsidP="007F56A1">
      <w:pPr>
        <w:jc w:val="both"/>
        <w:rPr>
          <w:sz w:val="20"/>
          <w:szCs w:val="20"/>
        </w:rPr>
      </w:pPr>
      <w:bookmarkStart w:id="0" w:name="_GoBack"/>
      <w:bookmarkEnd w:id="0"/>
    </w:p>
    <w:p w14:paraId="6F8A0808" w14:textId="5FDF7F19" w:rsidR="00E43ABF" w:rsidRDefault="00E43ABF" w:rsidP="007F56A1">
      <w:pPr>
        <w:jc w:val="both"/>
      </w:pPr>
    </w:p>
    <w:sectPr w:rsidR="00E43ABF" w:rsidSect="005148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575D"/>
    <w:multiLevelType w:val="hybridMultilevel"/>
    <w:tmpl w:val="F6863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718"/>
    <w:multiLevelType w:val="hybridMultilevel"/>
    <w:tmpl w:val="C2362EC2"/>
    <w:lvl w:ilvl="0" w:tplc="0A14FF88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2F"/>
    <w:rsid w:val="0004772F"/>
    <w:rsid w:val="00053051"/>
    <w:rsid w:val="000578B3"/>
    <w:rsid w:val="00166A51"/>
    <w:rsid w:val="001A494B"/>
    <w:rsid w:val="001D00FA"/>
    <w:rsid w:val="00201363"/>
    <w:rsid w:val="00290B8F"/>
    <w:rsid w:val="002D5FC1"/>
    <w:rsid w:val="003115C9"/>
    <w:rsid w:val="00363E72"/>
    <w:rsid w:val="003F5C53"/>
    <w:rsid w:val="00432651"/>
    <w:rsid w:val="004407E2"/>
    <w:rsid w:val="00471ACE"/>
    <w:rsid w:val="004D522C"/>
    <w:rsid w:val="004E0DAA"/>
    <w:rsid w:val="00502895"/>
    <w:rsid w:val="005148D2"/>
    <w:rsid w:val="00535365"/>
    <w:rsid w:val="005874B7"/>
    <w:rsid w:val="005A33CE"/>
    <w:rsid w:val="005B4756"/>
    <w:rsid w:val="005C1DB2"/>
    <w:rsid w:val="006A1954"/>
    <w:rsid w:val="006B5DDE"/>
    <w:rsid w:val="00742AEA"/>
    <w:rsid w:val="007548D7"/>
    <w:rsid w:val="007658EE"/>
    <w:rsid w:val="0078770C"/>
    <w:rsid w:val="007F56A1"/>
    <w:rsid w:val="008267F9"/>
    <w:rsid w:val="00837B5A"/>
    <w:rsid w:val="00874CC8"/>
    <w:rsid w:val="00877177"/>
    <w:rsid w:val="00896C46"/>
    <w:rsid w:val="008D77B5"/>
    <w:rsid w:val="0092106D"/>
    <w:rsid w:val="009330ED"/>
    <w:rsid w:val="0095634F"/>
    <w:rsid w:val="00972E83"/>
    <w:rsid w:val="00982B9F"/>
    <w:rsid w:val="009B1811"/>
    <w:rsid w:val="009E5F5E"/>
    <w:rsid w:val="009E6679"/>
    <w:rsid w:val="00A00073"/>
    <w:rsid w:val="00A074EA"/>
    <w:rsid w:val="00A31F0D"/>
    <w:rsid w:val="00AF55E3"/>
    <w:rsid w:val="00B67C1C"/>
    <w:rsid w:val="00B8727A"/>
    <w:rsid w:val="00BC4F65"/>
    <w:rsid w:val="00BF0F61"/>
    <w:rsid w:val="00C103C6"/>
    <w:rsid w:val="00C124BE"/>
    <w:rsid w:val="00CB018D"/>
    <w:rsid w:val="00CF055C"/>
    <w:rsid w:val="00D03CE1"/>
    <w:rsid w:val="00D259A3"/>
    <w:rsid w:val="00D27427"/>
    <w:rsid w:val="00D32A25"/>
    <w:rsid w:val="00D5068A"/>
    <w:rsid w:val="00D563B2"/>
    <w:rsid w:val="00DA1B9F"/>
    <w:rsid w:val="00DC39A5"/>
    <w:rsid w:val="00E22198"/>
    <w:rsid w:val="00E43ABF"/>
    <w:rsid w:val="00EB5EDB"/>
    <w:rsid w:val="00ED59F9"/>
    <w:rsid w:val="00F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695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2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72F"/>
    <w:pPr>
      <w:ind w:left="720"/>
      <w:contextualSpacing/>
    </w:pPr>
  </w:style>
  <w:style w:type="table" w:styleId="Grille">
    <w:name w:val="Table Grid"/>
    <w:basedOn w:val="TableauNormal"/>
    <w:uiPriority w:val="59"/>
    <w:rsid w:val="005874B7"/>
    <w:rPr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7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2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72F"/>
    <w:pPr>
      <w:ind w:left="720"/>
      <w:contextualSpacing/>
    </w:pPr>
  </w:style>
  <w:style w:type="table" w:styleId="Grille">
    <w:name w:val="Table Grid"/>
    <w:basedOn w:val="TableauNormal"/>
    <w:uiPriority w:val="59"/>
    <w:rsid w:val="005874B7"/>
    <w:rPr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7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588</Words>
  <Characters>3013</Characters>
  <Application>Microsoft Macintosh Word</Application>
  <DocSecurity>0</DocSecurity>
  <Lines>44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Bougnot</dc:creator>
  <cp:keywords/>
  <dc:description/>
  <cp:lastModifiedBy>Josiane Bougnot</cp:lastModifiedBy>
  <cp:revision>25</cp:revision>
  <cp:lastPrinted>2014-11-05T11:46:00Z</cp:lastPrinted>
  <dcterms:created xsi:type="dcterms:W3CDTF">2014-12-12T10:02:00Z</dcterms:created>
  <dcterms:modified xsi:type="dcterms:W3CDTF">2014-12-12T12:57:00Z</dcterms:modified>
</cp:coreProperties>
</file>