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6D" w:rsidRPr="007C1AF7" w:rsidRDefault="0034766D" w:rsidP="0034766D">
      <w:pPr>
        <w:widowControl w:val="0"/>
        <w:autoSpaceDE w:val="0"/>
        <w:autoSpaceDN w:val="0"/>
        <w:adjustRightInd w:val="0"/>
        <w:jc w:val="center"/>
        <w:rPr>
          <w:rFonts w:ascii="Times New Roman" w:hAnsi="Times New Roman" w:cs="Times New Roman"/>
          <w:noProof/>
          <w:sz w:val="32"/>
          <w:szCs w:val="32"/>
        </w:rPr>
      </w:pPr>
      <w:r w:rsidRPr="007C1AF7">
        <w:rPr>
          <w:rFonts w:ascii="Times New Roman" w:hAnsi="Times New Roman" w:cs="Times New Roman"/>
          <w:i/>
          <w:iCs/>
          <w:noProof/>
          <w:sz w:val="32"/>
          <w:szCs w:val="32"/>
        </w:rPr>
        <w:t>“Non contrarii, ma diversi”</w:t>
      </w:r>
      <w:r w:rsidRPr="007C1AF7">
        <w:rPr>
          <w:rFonts w:ascii="Times New Roman" w:hAnsi="Times New Roman" w:cs="Times New Roman"/>
          <w:noProof/>
          <w:sz w:val="32"/>
          <w:szCs w:val="32"/>
        </w:rPr>
        <w:t>: the question of minority in the eyes of Christians and Jews in Italy (early 15</w:t>
      </w:r>
      <w:r w:rsidRPr="007C1AF7">
        <w:rPr>
          <w:rFonts w:ascii="Times New Roman" w:hAnsi="Times New Roman" w:cs="Times New Roman"/>
          <w:noProof/>
          <w:sz w:val="32"/>
          <w:szCs w:val="32"/>
          <w:vertAlign w:val="superscript"/>
        </w:rPr>
        <w:t>th</w:t>
      </w:r>
      <w:r w:rsidRPr="007C1AF7">
        <w:rPr>
          <w:rFonts w:ascii="Times New Roman" w:hAnsi="Times New Roman" w:cs="Times New Roman"/>
          <w:noProof/>
          <w:sz w:val="32"/>
          <w:szCs w:val="32"/>
        </w:rPr>
        <w:t>-mid 18</w:t>
      </w:r>
      <w:r w:rsidRPr="007C1AF7">
        <w:rPr>
          <w:rFonts w:ascii="Times New Roman" w:hAnsi="Times New Roman" w:cs="Times New Roman"/>
          <w:noProof/>
          <w:sz w:val="32"/>
          <w:szCs w:val="32"/>
          <w:vertAlign w:val="superscript"/>
        </w:rPr>
        <w:t>th</w:t>
      </w:r>
      <w:r w:rsidRPr="007C1AF7">
        <w:rPr>
          <w:rFonts w:ascii="Times New Roman" w:hAnsi="Times New Roman" w:cs="Times New Roman"/>
          <w:noProof/>
          <w:sz w:val="32"/>
          <w:szCs w:val="32"/>
        </w:rPr>
        <w:t xml:space="preserve"> century)</w:t>
      </w:r>
    </w:p>
    <w:p w:rsidR="0034766D" w:rsidRPr="007C1AF7" w:rsidRDefault="0034766D" w:rsidP="0034766D">
      <w:pPr>
        <w:widowControl w:val="0"/>
        <w:autoSpaceDE w:val="0"/>
        <w:autoSpaceDN w:val="0"/>
        <w:adjustRightInd w:val="0"/>
        <w:jc w:val="center"/>
        <w:rPr>
          <w:rFonts w:ascii="Times New Roman" w:hAnsi="Times New Roman" w:cs="Times New Roman"/>
          <w:noProof/>
          <w:sz w:val="28"/>
          <w:szCs w:val="28"/>
        </w:rPr>
      </w:pPr>
      <w:r w:rsidRPr="007C1AF7">
        <w:rPr>
          <w:rFonts w:ascii="Times New Roman" w:hAnsi="Times New Roman" w:cs="Times New Roman"/>
          <w:noProof/>
          <w:sz w:val="28"/>
          <w:szCs w:val="28"/>
        </w:rPr>
        <w:t>Workshop in Paris, 21-22 November 2016</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i/>
          <w:iCs/>
          <w:noProof/>
        </w:rPr>
        <w:t>“[…] se li dice non esser gl’Hebrei con li Christiani contrarij, come il Nero al Bianco […], ma diversi a guisa del Dolce &amp; il Rosso,”</w:t>
      </w:r>
      <w:r w:rsidRPr="007C1AF7">
        <w:rPr>
          <w:rFonts w:ascii="Times New Roman" w:hAnsi="Times New Roman" w:cs="Times New Roman"/>
          <w:noProof/>
        </w:rPr>
        <w:t xml:space="preserve"> writes the rabbi and philosopher Simone Luzzatto in his famous </w:t>
      </w:r>
      <w:r w:rsidRPr="007C1AF7">
        <w:rPr>
          <w:rFonts w:ascii="Times New Roman" w:hAnsi="Times New Roman" w:cs="Times New Roman"/>
          <w:i/>
          <w:iCs/>
          <w:noProof/>
        </w:rPr>
        <w:t>Discourse Concerning the Condition of the Jews</w:t>
      </w:r>
      <w:r w:rsidRPr="007C1AF7">
        <w:rPr>
          <w:rFonts w:ascii="Times New Roman" w:hAnsi="Times New Roman" w:cs="Times New Roman"/>
          <w:noProof/>
        </w:rPr>
        <w:t xml:space="preserve"> published in Venice in 1638. Although some fear that diversity within the same city causes discord and dissension, “one must tell them that Jews and Christians are not opposite like black to white […], but different in the manner of sweet and red.” This is a powerful way of imagining the difference between these two social groups. In the eyes of the author, this heterogeneity, however radical it might appear to be, does not prevent a happy and peaceful coexistence. On the contrary: it is its radical nature that makes possible a happy coexistence, since it excludes any conflict between the two communities. Jews and Christians are “not opposite, but different”: </w:t>
      </w:r>
      <w:r w:rsidRPr="007C1AF7">
        <w:rPr>
          <w:rFonts w:ascii="Times New Roman" w:hAnsi="Times New Roman" w:cs="Times New Roman"/>
          <w:i/>
          <w:iCs/>
          <w:noProof/>
        </w:rPr>
        <w:t>“non contrarii, ma diversi”</w:t>
      </w:r>
      <w:r w:rsidRPr="007C1AF7">
        <w:rPr>
          <w:rFonts w:ascii="Times New Roman" w:hAnsi="Times New Roman" w:cs="Times New Roman"/>
          <w:noProof/>
        </w:rPr>
        <w:t>.</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w:t>
      </w:r>
    </w:p>
    <w:p w:rsidR="0034766D" w:rsidRPr="007C1AF7" w:rsidRDefault="0034766D" w:rsidP="0034766D">
      <w:pPr>
        <w:widowControl w:val="0"/>
        <w:autoSpaceDE w:val="0"/>
        <w:autoSpaceDN w:val="0"/>
        <w:adjustRightInd w:val="0"/>
        <w:jc w:val="center"/>
        <w:rPr>
          <w:rFonts w:ascii="Times New Roman" w:hAnsi="Times New Roman" w:cs="Times New Roman"/>
          <w:noProof/>
        </w:rPr>
      </w:pPr>
      <w:r w:rsidRPr="007C1AF7">
        <w:rPr>
          <w:rFonts w:ascii="Times New Roman" w:hAnsi="Times New Roman" w:cs="Times New Roman"/>
          <w:noProof/>
        </w:rPr>
        <w:t>*</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xml:space="preserve">Our workshop will be devoted to the theme of (Jewish) minority in Italy, and more specifically to how the problem of minority was defined and how, both on the Christian and on the Jewish side, Jewish presence was (or not) considered the presence of a minority. We are not talking about how Jews </w:t>
      </w:r>
      <w:r w:rsidRPr="007C1AF7">
        <w:rPr>
          <w:rFonts w:ascii="Times New Roman" w:hAnsi="Times New Roman" w:cs="Times New Roman"/>
          <w:i/>
          <w:noProof/>
        </w:rPr>
        <w:t>looked</w:t>
      </w:r>
      <w:r w:rsidRPr="007C1AF7">
        <w:rPr>
          <w:rFonts w:ascii="Times New Roman" w:hAnsi="Times New Roman" w:cs="Times New Roman"/>
          <w:noProof/>
        </w:rPr>
        <w:t xml:space="preserve"> at Christians and Christians at Jews, which would be a huge and very vague subject, but rather how, in language and categories that remain to be specified, the presence of a minority (i.e., a smaller, different, and self-identifying group) was conceived in a society typically portrayed as a homogeneous body and totally Christian. A clarification is needed here: just as there is no obligation to believe that this putatively</w:t>
      </w:r>
      <w:r w:rsidR="00AC016D" w:rsidRPr="007C1AF7">
        <w:rPr>
          <w:rFonts w:ascii="Times New Roman" w:hAnsi="Times New Roman" w:cs="Times New Roman"/>
          <w:noProof/>
        </w:rPr>
        <w:t xml:space="preserve"> </w:t>
      </w:r>
      <w:r w:rsidRPr="007C1AF7">
        <w:rPr>
          <w:rFonts w:ascii="Times New Roman" w:hAnsi="Times New Roman" w:cs="Times New Roman"/>
          <w:noProof/>
        </w:rPr>
        <w:t>Christian society constitutes a homogeneous body, one can and must question the assumption of  culturally and socially homogeneous Jewish population in early modern Italy. The latter was also stratified, especially in terms of class and gender, and subject to internal oppositions. Our reflection extends therefore to the very relevance of the concept of minority; we want to question this scholarly category and determine if its use seems convincing.</w:t>
      </w:r>
    </w:p>
    <w:p w:rsidR="0034766D" w:rsidRPr="007C1AF7" w:rsidRDefault="0034766D" w:rsidP="007C1AF7">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xml:space="preserve">Luzzatto’s assertion is of course debatable, especially if we remember that it was formulated during a period of ghettoization; written in an apologetic perspective, it epitomizes </w:t>
      </w:r>
      <w:r w:rsidR="007C1AF7" w:rsidRPr="007C1AF7">
        <w:rPr>
          <w:rFonts w:ascii="Times New Roman" w:hAnsi="Times New Roman" w:cs="Times New Roman"/>
          <w:noProof/>
        </w:rPr>
        <w:t xml:space="preserve">the liberal position toward </w:t>
      </w:r>
      <w:r w:rsidRPr="007C1AF7">
        <w:rPr>
          <w:rFonts w:ascii="Times New Roman" w:hAnsi="Times New Roman" w:cs="Times New Roman"/>
          <w:noProof/>
        </w:rPr>
        <w:t xml:space="preserve">the place of the Jewish minority in the society of the time, in pointed contrast to other less tolerant conceptions. Let us not forget that some favored the complete disappearance of the Jewish minority, either through expulsionist or conversionist policies. </w:t>
      </w:r>
      <w:r w:rsidR="007C1AF7" w:rsidRPr="007C1AF7">
        <w:rPr>
          <w:rFonts w:ascii="Times New Roman" w:hAnsi="Times New Roman" w:cs="Times New Roman"/>
          <w:noProof/>
        </w:rPr>
        <w:t>On the other hand</w:t>
      </w:r>
      <w:r w:rsidRPr="007C1AF7">
        <w:rPr>
          <w:rFonts w:ascii="Times New Roman" w:hAnsi="Times New Roman" w:cs="Times New Roman"/>
          <w:noProof/>
        </w:rPr>
        <w:t xml:space="preserve">, in order to pose the question correctly, it may be necessary to admit the difficulties </w:t>
      </w:r>
      <w:r w:rsidR="007C1AF7" w:rsidRPr="007C1AF7">
        <w:rPr>
          <w:rFonts w:ascii="Times New Roman" w:hAnsi="Times New Roman" w:cs="Times New Roman"/>
          <w:noProof/>
        </w:rPr>
        <w:t>presente</w:t>
      </w:r>
      <w:r w:rsidRPr="007C1AF7">
        <w:rPr>
          <w:rFonts w:ascii="Times New Roman" w:hAnsi="Times New Roman" w:cs="Times New Roman"/>
          <w:noProof/>
        </w:rPr>
        <w:t>d by the presence of a religious minority in a society where the modern concept of secularism was still nonexistent; that way, one can get rid of a number of moral judgments, for example regarding the attitudes of authorities towards the Jews of the time. In conclusion, our collective inquiry should be conducted with the aim of not caricaturing attitudes of both sides and preserving the diversity of cases and contexts.</w:t>
      </w:r>
    </w:p>
    <w:p w:rsidR="0034766D" w:rsidRPr="007C1AF7" w:rsidRDefault="0034766D" w:rsidP="007C1AF7">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What d</w:t>
      </w:r>
      <w:r w:rsidR="007C1AF7" w:rsidRPr="007C1AF7">
        <w:rPr>
          <w:rFonts w:ascii="Times New Roman" w:hAnsi="Times New Roman" w:cs="Times New Roman"/>
          <w:noProof/>
        </w:rPr>
        <w:t>id</w:t>
      </w:r>
      <w:r w:rsidRPr="007C1AF7">
        <w:rPr>
          <w:rFonts w:ascii="Times New Roman" w:hAnsi="Times New Roman" w:cs="Times New Roman"/>
          <w:noProof/>
        </w:rPr>
        <w:t xml:space="preserve"> “making a society” mean </w:t>
      </w:r>
      <w:r w:rsidR="007C1AF7" w:rsidRPr="007C1AF7">
        <w:rPr>
          <w:rFonts w:ascii="Times New Roman" w:hAnsi="Times New Roman" w:cs="Times New Roman"/>
          <w:noProof/>
        </w:rPr>
        <w:t>in the context of Renaissance and early modern Italy?</w:t>
      </w:r>
      <w:r w:rsidRPr="007C1AF7">
        <w:rPr>
          <w:rFonts w:ascii="Times New Roman" w:hAnsi="Times New Roman" w:cs="Times New Roman"/>
          <w:noProof/>
        </w:rPr>
        <w:t xml:space="preserve"> </w:t>
      </w:r>
      <w:r w:rsidR="007C1AF7" w:rsidRPr="007C1AF7">
        <w:rPr>
          <w:rFonts w:ascii="Times New Roman" w:hAnsi="Times New Roman" w:cs="Times New Roman"/>
          <w:noProof/>
        </w:rPr>
        <w:t xml:space="preserve">How could one organize viable cohabitation between minority and majority </w:t>
      </w:r>
      <w:r w:rsidR="007C1AF7" w:rsidRPr="007C1AF7">
        <w:rPr>
          <w:rFonts w:ascii="Times New Roman" w:hAnsi="Times New Roman" w:cs="Times New Roman"/>
          <w:noProof/>
        </w:rPr>
        <w:lastRenderedPageBreak/>
        <w:t xml:space="preserve">communities? </w:t>
      </w:r>
      <w:r w:rsidRPr="007C1AF7">
        <w:rPr>
          <w:rFonts w:ascii="Times New Roman" w:hAnsi="Times New Roman" w:cs="Times New Roman"/>
          <w:noProof/>
        </w:rPr>
        <w:t xml:space="preserve">It seems that, differently from today but in ways that echo contemporary problems, the Italian </w:t>
      </w:r>
      <w:r w:rsidRPr="007C1AF7">
        <w:rPr>
          <w:rFonts w:ascii="Times New Roman" w:hAnsi="Times New Roman" w:cs="Times New Roman"/>
          <w:i/>
          <w:iCs/>
          <w:noProof/>
        </w:rPr>
        <w:t>Ancien Regime</w:t>
      </w:r>
      <w:r w:rsidRPr="007C1AF7">
        <w:rPr>
          <w:rFonts w:ascii="Times New Roman" w:hAnsi="Times New Roman" w:cs="Times New Roman"/>
          <w:noProof/>
        </w:rPr>
        <w:t xml:space="preserve"> knew indeed, in its own way, how to articulate minorities, political body, diverse “communities.”</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w:t>
      </w:r>
    </w:p>
    <w:p w:rsidR="0034766D" w:rsidRPr="007C1AF7" w:rsidRDefault="0034766D" w:rsidP="0034766D">
      <w:pPr>
        <w:widowControl w:val="0"/>
        <w:autoSpaceDE w:val="0"/>
        <w:autoSpaceDN w:val="0"/>
        <w:adjustRightInd w:val="0"/>
        <w:jc w:val="center"/>
        <w:rPr>
          <w:rFonts w:ascii="Times New Roman" w:hAnsi="Times New Roman" w:cs="Times New Roman"/>
          <w:noProof/>
        </w:rPr>
      </w:pPr>
      <w:r w:rsidRPr="007C1AF7">
        <w:rPr>
          <w:rFonts w:ascii="Times New Roman" w:hAnsi="Times New Roman" w:cs="Times New Roman"/>
          <w:noProof/>
        </w:rPr>
        <w:t>*</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 </w:t>
      </w:r>
    </w:p>
    <w:p w:rsidR="0034766D"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Our work will focus on the 15</w:t>
      </w:r>
      <w:r w:rsidRPr="007C1AF7">
        <w:rPr>
          <w:rFonts w:ascii="Times New Roman" w:hAnsi="Times New Roman" w:cs="Times New Roman"/>
          <w:noProof/>
          <w:vertAlign w:val="superscript"/>
        </w:rPr>
        <w:t>th</w:t>
      </w:r>
      <w:r w:rsidRPr="007C1AF7">
        <w:rPr>
          <w:rFonts w:ascii="Times New Roman" w:hAnsi="Times New Roman" w:cs="Times New Roman"/>
          <w:noProof/>
        </w:rPr>
        <w:t>-18</w:t>
      </w:r>
      <w:r w:rsidRPr="007C1AF7">
        <w:rPr>
          <w:rFonts w:ascii="Times New Roman" w:hAnsi="Times New Roman" w:cs="Times New Roman"/>
          <w:noProof/>
          <w:vertAlign w:val="superscript"/>
        </w:rPr>
        <w:t>th</w:t>
      </w:r>
      <w:r w:rsidRPr="007C1AF7">
        <w:rPr>
          <w:rFonts w:ascii="Times New Roman" w:hAnsi="Times New Roman" w:cs="Times New Roman"/>
          <w:noProof/>
        </w:rPr>
        <w:t xml:space="preserve"> centuries, from the late Middle Ages to the Renaissance and Early Modern period, through the establishment of ghettos in the 16</w:t>
      </w:r>
      <w:r w:rsidRPr="007C1AF7">
        <w:rPr>
          <w:rFonts w:ascii="Times New Roman" w:hAnsi="Times New Roman" w:cs="Times New Roman"/>
          <w:noProof/>
          <w:vertAlign w:val="superscript"/>
        </w:rPr>
        <w:t>th</w:t>
      </w:r>
      <w:r w:rsidRPr="007C1AF7">
        <w:rPr>
          <w:rFonts w:ascii="Times New Roman" w:hAnsi="Times New Roman" w:cs="Times New Roman"/>
          <w:noProof/>
        </w:rPr>
        <w:t xml:space="preserve"> century. These questions will be addressed in three thematic sessions:</w:t>
      </w:r>
    </w:p>
    <w:p w:rsidR="0040345A" w:rsidRPr="007C1AF7" w:rsidRDefault="0040345A" w:rsidP="0040345A">
      <w:pPr>
        <w:pStyle w:val="Paragraphedeliste"/>
        <w:numPr>
          <w:ilvl w:val="0"/>
          <w:numId w:val="1"/>
        </w:numPr>
        <w:jc w:val="both"/>
        <w:rPr>
          <w:rFonts w:ascii="Times New Roman" w:hAnsi="Times New Roman" w:cs="Times New Roman"/>
          <w:noProof/>
          <w:sz w:val="24"/>
          <w:szCs w:val="24"/>
          <w:lang w:val="en-US"/>
        </w:rPr>
      </w:pPr>
      <w:r w:rsidRPr="007C1AF7">
        <w:rPr>
          <w:rFonts w:ascii="Times New Roman" w:hAnsi="Times New Roman" w:cs="Times New Roman"/>
          <w:noProof/>
          <w:lang w:val="en-US"/>
        </w:rPr>
        <w:t>F</w:t>
      </w:r>
      <w:r w:rsidR="0034766D" w:rsidRPr="007C1AF7">
        <w:rPr>
          <w:rFonts w:ascii="Times New Roman" w:hAnsi="Times New Roman" w:cs="Times New Roman"/>
          <w:noProof/>
          <w:sz w:val="24"/>
          <w:szCs w:val="24"/>
          <w:lang w:val="en-US"/>
        </w:rPr>
        <w:t xml:space="preserve">irst, the </w:t>
      </w:r>
      <w:r w:rsidR="0034766D" w:rsidRPr="007C1AF7">
        <w:rPr>
          <w:rFonts w:ascii="Times New Roman" w:hAnsi="Times New Roman" w:cs="Times New Roman"/>
          <w:i/>
          <w:iCs/>
          <w:noProof/>
          <w:sz w:val="24"/>
          <w:szCs w:val="24"/>
          <w:lang w:val="en-US"/>
        </w:rPr>
        <w:t>legal and political framework</w:t>
      </w:r>
      <w:r w:rsidR="0034766D" w:rsidRPr="007C1AF7">
        <w:rPr>
          <w:rFonts w:ascii="Times New Roman" w:hAnsi="Times New Roman" w:cs="Times New Roman"/>
          <w:noProof/>
          <w:sz w:val="24"/>
          <w:szCs w:val="24"/>
          <w:lang w:val="en-US"/>
        </w:rPr>
        <w:t>: that is to say, both the problem, so important in contemporary historiography, of how the “right of the Jews” is conceived (particularly the question of their citizenship), the practical attitudes of authorities towards the Jews (the “Jewish policies” of the states) and, conversely, Jewish agency in this area, if one can notice it; internal organization and modes of self-government (following a Christian model?) within communi</w:t>
      </w:r>
      <w:r w:rsidRPr="007C1AF7">
        <w:rPr>
          <w:rFonts w:ascii="Times New Roman" w:hAnsi="Times New Roman" w:cs="Times New Roman"/>
          <w:noProof/>
          <w:sz w:val="24"/>
          <w:szCs w:val="24"/>
          <w:lang w:val="en-US"/>
        </w:rPr>
        <w:t>ties is an important point here ;</w:t>
      </w:r>
    </w:p>
    <w:p w:rsidR="0040345A" w:rsidRPr="007C1AF7" w:rsidRDefault="007C1AF7" w:rsidP="00581673">
      <w:pPr>
        <w:pStyle w:val="Paragraphedeliste"/>
        <w:numPr>
          <w:ilvl w:val="0"/>
          <w:numId w:val="1"/>
        </w:numPr>
        <w:jc w:val="both"/>
        <w:rPr>
          <w:rFonts w:asciiTheme="majorBidi" w:hAnsiTheme="majorBidi" w:cstheme="majorBidi"/>
          <w:noProof/>
          <w:sz w:val="24"/>
          <w:szCs w:val="24"/>
          <w:lang w:val="en-US"/>
        </w:rPr>
      </w:pPr>
      <w:r w:rsidRPr="007C1AF7">
        <w:rPr>
          <w:rFonts w:asciiTheme="majorBidi" w:hAnsiTheme="majorBidi" w:cstheme="majorBidi"/>
          <w:noProof/>
          <w:sz w:val="24"/>
          <w:szCs w:val="24"/>
          <w:lang w:val="en-US"/>
        </w:rPr>
        <w:t xml:space="preserve">Second, </w:t>
      </w:r>
      <w:r w:rsidRPr="007C1AF7">
        <w:rPr>
          <w:rFonts w:asciiTheme="majorBidi" w:hAnsiTheme="majorBidi" w:cstheme="majorBidi"/>
          <w:i/>
          <w:iCs/>
          <w:noProof/>
          <w:sz w:val="24"/>
          <w:szCs w:val="24"/>
          <w:lang w:val="en-US"/>
        </w:rPr>
        <w:t>cultural phenomena</w:t>
      </w:r>
      <w:r w:rsidRPr="007C1AF7">
        <w:rPr>
          <w:rFonts w:asciiTheme="majorBidi" w:hAnsiTheme="majorBidi" w:cstheme="majorBidi"/>
          <w:noProof/>
          <w:sz w:val="24"/>
          <w:szCs w:val="24"/>
          <w:lang w:val="en-US"/>
        </w:rPr>
        <w:t>: a common ground was gradually created between Christians and Jews, in religious as well as in cultural terms at large. A common struggle was recommended against an enemy who was no longer the faithful of another religion, but the atheist. The same high language was now shared: literary Italian (Tuscan). A</w:t>
      </w:r>
      <w:r w:rsidR="00581673">
        <w:rPr>
          <w:rFonts w:asciiTheme="majorBidi" w:hAnsiTheme="majorBidi" w:cstheme="majorBidi"/>
          <w:noProof/>
          <w:sz w:val="24"/>
          <w:szCs w:val="24"/>
          <w:lang w:val="en-US"/>
        </w:rPr>
        <w:t>longside</w:t>
      </w:r>
      <w:r w:rsidRPr="007C1AF7">
        <w:rPr>
          <w:rFonts w:asciiTheme="majorBidi" w:hAnsiTheme="majorBidi" w:cstheme="majorBidi"/>
          <w:noProof/>
          <w:sz w:val="24"/>
          <w:szCs w:val="24"/>
          <w:lang w:val="en-US"/>
        </w:rPr>
        <w:t xml:space="preserve"> Hebrew and Latin, which continued to be used, a large “neutral zone” was created, much like had happened centuries before in the Arab and Muslim world</w:t>
      </w:r>
    </w:p>
    <w:p w:rsidR="0040345A" w:rsidRPr="007C1AF7" w:rsidRDefault="0034766D" w:rsidP="00581673">
      <w:pPr>
        <w:pStyle w:val="Paragraphedeliste"/>
        <w:numPr>
          <w:ilvl w:val="0"/>
          <w:numId w:val="1"/>
        </w:numPr>
        <w:jc w:val="both"/>
        <w:rPr>
          <w:rFonts w:ascii="Times New Roman" w:hAnsi="Times New Roman" w:cs="Times New Roman"/>
          <w:noProof/>
          <w:sz w:val="24"/>
          <w:szCs w:val="24"/>
          <w:lang w:val="en-US"/>
        </w:rPr>
      </w:pPr>
      <w:r w:rsidRPr="007C1AF7">
        <w:rPr>
          <w:rFonts w:asciiTheme="majorBidi" w:hAnsiTheme="majorBidi" w:cstheme="majorBidi"/>
          <w:noProof/>
          <w:sz w:val="24"/>
          <w:szCs w:val="24"/>
          <w:lang w:val="en-US"/>
        </w:rPr>
        <w:t>Finally,  </w:t>
      </w:r>
      <w:r w:rsidRPr="007C1AF7">
        <w:rPr>
          <w:rFonts w:asciiTheme="majorBidi" w:hAnsiTheme="majorBidi" w:cstheme="majorBidi"/>
          <w:i/>
          <w:iCs/>
          <w:noProof/>
          <w:sz w:val="24"/>
          <w:szCs w:val="24"/>
          <w:lang w:val="en-US"/>
        </w:rPr>
        <w:t>economic and social practices</w:t>
      </w:r>
      <w:r w:rsidRPr="007C1AF7">
        <w:rPr>
          <w:rFonts w:asciiTheme="majorBidi" w:hAnsiTheme="majorBidi" w:cstheme="majorBidi"/>
          <w:noProof/>
          <w:sz w:val="24"/>
          <w:szCs w:val="24"/>
          <w:lang w:val="en-US"/>
        </w:rPr>
        <w:t xml:space="preserve">: </w:t>
      </w:r>
      <w:r w:rsidR="007C1AF7" w:rsidRPr="007C1AF7">
        <w:rPr>
          <w:rFonts w:asciiTheme="majorBidi" w:hAnsiTheme="majorBidi" w:cstheme="majorBidi"/>
          <w:noProof/>
          <w:sz w:val="24"/>
          <w:szCs w:val="24"/>
          <w:lang w:val="en-US"/>
        </w:rPr>
        <w:t xml:space="preserve">Jews, who at that time were often active in money-trading, </w:t>
      </w:r>
      <w:bookmarkStart w:id="0" w:name="_GoBack"/>
      <w:r w:rsidR="007C1AF7" w:rsidRPr="00581673">
        <w:rPr>
          <w:rFonts w:asciiTheme="majorBidi" w:hAnsiTheme="majorBidi" w:cstheme="majorBidi"/>
          <w:noProof/>
          <w:sz w:val="24"/>
          <w:szCs w:val="24"/>
          <w:lang w:val="en-US"/>
        </w:rPr>
        <w:t>were granted a position of</w:t>
      </w:r>
      <w:r w:rsidRPr="00581673">
        <w:rPr>
          <w:rFonts w:asciiTheme="majorBidi" w:hAnsiTheme="majorBidi" w:cstheme="majorBidi"/>
          <w:noProof/>
          <w:sz w:val="24"/>
          <w:szCs w:val="24"/>
          <w:lang w:val="en-US"/>
        </w:rPr>
        <w:t xml:space="preserve"> “central marginality,” </w:t>
      </w:r>
      <w:r w:rsidR="00581673" w:rsidRPr="00581673">
        <w:rPr>
          <w:rFonts w:asciiTheme="majorBidi" w:hAnsiTheme="majorBidi" w:cstheme="majorBidi"/>
          <w:sz w:val="24"/>
          <w:szCs w:val="24"/>
          <w:lang w:val="en-US"/>
        </w:rPr>
        <w:t>made possible by their minority status, which earned them both hostility (see the theme of usury) and recognition for their social and economic utility</w:t>
      </w:r>
      <w:r w:rsidRPr="00581673">
        <w:rPr>
          <w:rFonts w:asciiTheme="majorBidi" w:hAnsiTheme="majorBidi" w:cstheme="majorBidi"/>
          <w:noProof/>
          <w:sz w:val="24"/>
          <w:szCs w:val="24"/>
          <w:lang w:val="en-US"/>
        </w:rPr>
        <w:t xml:space="preserve">. According </w:t>
      </w:r>
      <w:bookmarkEnd w:id="0"/>
      <w:r w:rsidRPr="007C1AF7">
        <w:rPr>
          <w:rFonts w:ascii="Times New Roman" w:hAnsi="Times New Roman" w:cs="Times New Roman"/>
          <w:noProof/>
          <w:sz w:val="24"/>
          <w:szCs w:val="24"/>
          <w:lang w:val="en-US"/>
        </w:rPr>
        <w:t xml:space="preserve">to place and time, Jewish presence </w:t>
      </w:r>
      <w:r w:rsidR="00535B20" w:rsidRPr="007C1AF7">
        <w:rPr>
          <w:rFonts w:ascii="Times New Roman" w:hAnsi="Times New Roman" w:cs="Times New Roman"/>
          <w:noProof/>
          <w:sz w:val="24"/>
          <w:szCs w:val="24"/>
          <w:lang w:val="en-US"/>
        </w:rPr>
        <w:t>wa</w:t>
      </w:r>
      <w:r w:rsidRPr="007C1AF7">
        <w:rPr>
          <w:rFonts w:ascii="Times New Roman" w:hAnsi="Times New Roman" w:cs="Times New Roman"/>
          <w:noProof/>
          <w:sz w:val="24"/>
          <w:szCs w:val="24"/>
          <w:lang w:val="en-US"/>
        </w:rPr>
        <w:t xml:space="preserve">s tolerated differently, and the ghettoization clearly narrowed socio-economic opportunities of the Jews; the definitive prohibition of usury in some states probably caused a change (in a positive sense?) </w:t>
      </w:r>
      <w:r w:rsidR="00535B20" w:rsidRPr="007C1AF7">
        <w:rPr>
          <w:rFonts w:ascii="Times New Roman" w:hAnsi="Times New Roman" w:cs="Times New Roman"/>
          <w:noProof/>
          <w:sz w:val="24"/>
          <w:szCs w:val="24"/>
          <w:lang w:val="en-US"/>
        </w:rPr>
        <w:t>in the status and experience</w:t>
      </w:r>
      <w:r w:rsidRPr="007C1AF7">
        <w:rPr>
          <w:rFonts w:ascii="Times New Roman" w:hAnsi="Times New Roman" w:cs="Times New Roman"/>
          <w:noProof/>
          <w:sz w:val="24"/>
          <w:szCs w:val="24"/>
          <w:lang w:val="en-US"/>
        </w:rPr>
        <w:t xml:space="preserve"> of the Jewish minority.</w:t>
      </w:r>
    </w:p>
    <w:p w:rsidR="00CB6A0F" w:rsidRPr="007C1AF7" w:rsidRDefault="0034766D" w:rsidP="0040345A">
      <w:pPr>
        <w:widowControl w:val="0"/>
        <w:autoSpaceDE w:val="0"/>
        <w:autoSpaceDN w:val="0"/>
        <w:adjustRightInd w:val="0"/>
        <w:ind w:firstLine="284"/>
        <w:jc w:val="both"/>
        <w:rPr>
          <w:rFonts w:ascii="Times New Roman" w:hAnsi="Times New Roman" w:cs="Times New Roman"/>
          <w:noProof/>
        </w:rPr>
      </w:pPr>
      <w:r w:rsidRPr="007C1AF7">
        <w:rPr>
          <w:rFonts w:ascii="Times New Roman" w:hAnsi="Times New Roman" w:cs="Times New Roman"/>
          <w:noProof/>
        </w:rPr>
        <w:t>It</w:t>
      </w:r>
      <w:r w:rsidR="00535B20" w:rsidRPr="007C1AF7">
        <w:rPr>
          <w:rFonts w:ascii="Times New Roman" w:hAnsi="Times New Roman" w:cs="Times New Roman"/>
          <w:noProof/>
        </w:rPr>
        <w:t xml:space="preserve"> i</w:t>
      </w:r>
      <w:r w:rsidRPr="007C1AF7">
        <w:rPr>
          <w:rFonts w:ascii="Times New Roman" w:hAnsi="Times New Roman" w:cs="Times New Roman"/>
          <w:noProof/>
        </w:rPr>
        <w:t xml:space="preserve">s through </w:t>
      </w:r>
      <w:r w:rsidR="00535B20" w:rsidRPr="007C1AF7">
        <w:rPr>
          <w:rFonts w:ascii="Times New Roman" w:hAnsi="Times New Roman" w:cs="Times New Roman"/>
          <w:noProof/>
        </w:rPr>
        <w:t>considering</w:t>
      </w:r>
      <w:r w:rsidRPr="007C1AF7">
        <w:rPr>
          <w:rFonts w:ascii="Times New Roman" w:hAnsi="Times New Roman" w:cs="Times New Roman"/>
          <w:noProof/>
        </w:rPr>
        <w:t xml:space="preserve"> these three themes</w:t>
      </w:r>
      <w:r w:rsidR="00535B20" w:rsidRPr="007C1AF7">
        <w:rPr>
          <w:rFonts w:ascii="Times New Roman" w:hAnsi="Times New Roman" w:cs="Times New Roman"/>
          <w:noProof/>
        </w:rPr>
        <w:t xml:space="preserve"> together</w:t>
      </w:r>
      <w:r w:rsidRPr="007C1AF7">
        <w:rPr>
          <w:rFonts w:ascii="Times New Roman" w:hAnsi="Times New Roman" w:cs="Times New Roman"/>
          <w:noProof/>
        </w:rPr>
        <w:t xml:space="preserve"> that interesting </w:t>
      </w:r>
      <w:r w:rsidR="00535B20" w:rsidRPr="007C1AF7">
        <w:rPr>
          <w:rFonts w:ascii="Times New Roman" w:hAnsi="Times New Roman" w:cs="Times New Roman"/>
          <w:noProof/>
        </w:rPr>
        <w:t xml:space="preserve">conclusions about perceptions of the </w:t>
      </w:r>
      <w:r w:rsidRPr="007C1AF7">
        <w:rPr>
          <w:rFonts w:ascii="Times New Roman" w:hAnsi="Times New Roman" w:cs="Times New Roman"/>
          <w:noProof/>
        </w:rPr>
        <w:t xml:space="preserve">Jewish minority in Renaissance Italy can be </w:t>
      </w:r>
      <w:r w:rsidR="00535B20" w:rsidRPr="007C1AF7">
        <w:rPr>
          <w:rFonts w:ascii="Times New Roman" w:hAnsi="Times New Roman" w:cs="Times New Roman"/>
          <w:noProof/>
        </w:rPr>
        <w:t>drawn</w:t>
      </w:r>
      <w:r w:rsidRPr="007C1AF7">
        <w:rPr>
          <w:rFonts w:ascii="Times New Roman" w:hAnsi="Times New Roman" w:cs="Times New Roman"/>
          <w:noProof/>
        </w:rPr>
        <w:t xml:space="preserve">. This workshop on objects rarely studied in France will </w:t>
      </w:r>
      <w:r w:rsidR="00535B20" w:rsidRPr="007C1AF7">
        <w:rPr>
          <w:rFonts w:ascii="Times New Roman" w:hAnsi="Times New Roman" w:cs="Times New Roman"/>
          <w:noProof/>
        </w:rPr>
        <w:t xml:space="preserve">provide </w:t>
      </w:r>
      <w:r w:rsidRPr="007C1AF7">
        <w:rPr>
          <w:rFonts w:ascii="Times New Roman" w:hAnsi="Times New Roman" w:cs="Times New Roman"/>
          <w:noProof/>
        </w:rPr>
        <w:t>a useful moment to reflect on an issue that has s</w:t>
      </w:r>
      <w:r w:rsidR="00535B20" w:rsidRPr="007C1AF7">
        <w:rPr>
          <w:rFonts w:ascii="Times New Roman" w:hAnsi="Times New Roman" w:cs="Times New Roman"/>
          <w:noProof/>
        </w:rPr>
        <w:t>uch</w:t>
      </w:r>
      <w:r w:rsidRPr="007C1AF7">
        <w:rPr>
          <w:rFonts w:ascii="Times New Roman" w:hAnsi="Times New Roman" w:cs="Times New Roman"/>
          <w:noProof/>
        </w:rPr>
        <w:t xml:space="preserve"> strong contemporary echoes.</w:t>
      </w:r>
    </w:p>
    <w:sectPr w:rsidR="00CB6A0F" w:rsidRPr="007C1AF7" w:rsidSect="003476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A16"/>
    <w:multiLevelType w:val="hybridMultilevel"/>
    <w:tmpl w:val="AFDE431C"/>
    <w:lvl w:ilvl="0" w:tplc="8EAAB6DC">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6D"/>
    <w:rsid w:val="0034766D"/>
    <w:rsid w:val="0040345A"/>
    <w:rsid w:val="00535B20"/>
    <w:rsid w:val="00581673"/>
    <w:rsid w:val="007C1AF7"/>
    <w:rsid w:val="00AC016D"/>
    <w:rsid w:val="00C73B2D"/>
    <w:rsid w:val="00CB6A0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6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766D"/>
    <w:rPr>
      <w:rFonts w:ascii="Lucida Grande" w:hAnsi="Lucida Grande" w:cs="Lucida Grande"/>
      <w:sz w:val="18"/>
      <w:szCs w:val="18"/>
    </w:rPr>
  </w:style>
  <w:style w:type="character" w:styleId="Marquedecommentaire">
    <w:name w:val="annotation reference"/>
    <w:basedOn w:val="Policepardfaut"/>
    <w:uiPriority w:val="99"/>
    <w:semiHidden/>
    <w:unhideWhenUsed/>
    <w:rsid w:val="0034766D"/>
    <w:rPr>
      <w:sz w:val="18"/>
      <w:szCs w:val="18"/>
    </w:rPr>
  </w:style>
  <w:style w:type="paragraph" w:styleId="Commentaire">
    <w:name w:val="annotation text"/>
    <w:basedOn w:val="Normal"/>
    <w:link w:val="CommentaireCar"/>
    <w:uiPriority w:val="99"/>
    <w:semiHidden/>
    <w:unhideWhenUsed/>
    <w:rsid w:val="0034766D"/>
  </w:style>
  <w:style w:type="character" w:customStyle="1" w:styleId="CommentaireCar">
    <w:name w:val="Commentaire Car"/>
    <w:basedOn w:val="Policepardfaut"/>
    <w:link w:val="Commentaire"/>
    <w:uiPriority w:val="99"/>
    <w:semiHidden/>
    <w:rsid w:val="0034766D"/>
  </w:style>
  <w:style w:type="paragraph" w:styleId="Objetducommentaire">
    <w:name w:val="annotation subject"/>
    <w:basedOn w:val="Commentaire"/>
    <w:next w:val="Commentaire"/>
    <w:link w:val="ObjetducommentaireCar"/>
    <w:uiPriority w:val="99"/>
    <w:semiHidden/>
    <w:unhideWhenUsed/>
    <w:rsid w:val="0034766D"/>
    <w:rPr>
      <w:b/>
      <w:bCs/>
      <w:sz w:val="20"/>
      <w:szCs w:val="20"/>
    </w:rPr>
  </w:style>
  <w:style w:type="character" w:customStyle="1" w:styleId="ObjetducommentaireCar">
    <w:name w:val="Objet du commentaire Car"/>
    <w:basedOn w:val="CommentaireCar"/>
    <w:link w:val="Objetducommentaire"/>
    <w:uiPriority w:val="99"/>
    <w:semiHidden/>
    <w:rsid w:val="0034766D"/>
    <w:rPr>
      <w:b/>
      <w:bCs/>
      <w:sz w:val="20"/>
      <w:szCs w:val="20"/>
    </w:rPr>
  </w:style>
  <w:style w:type="paragraph" w:styleId="Rvision">
    <w:name w:val="Revision"/>
    <w:hidden/>
    <w:uiPriority w:val="99"/>
    <w:semiHidden/>
    <w:rsid w:val="0034766D"/>
  </w:style>
  <w:style w:type="paragraph" w:styleId="Paragraphedeliste">
    <w:name w:val="List Paragraph"/>
    <w:basedOn w:val="Normal"/>
    <w:uiPriority w:val="34"/>
    <w:qFormat/>
    <w:rsid w:val="0040345A"/>
    <w:pPr>
      <w:ind w:left="720"/>
      <w:contextualSpacing/>
    </w:pPr>
    <w:rPr>
      <w:rFonts w:eastAsiaTheme="minorHAns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6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766D"/>
    <w:rPr>
      <w:rFonts w:ascii="Lucida Grande" w:hAnsi="Lucida Grande" w:cs="Lucida Grande"/>
      <w:sz w:val="18"/>
      <w:szCs w:val="18"/>
    </w:rPr>
  </w:style>
  <w:style w:type="character" w:styleId="Marquedecommentaire">
    <w:name w:val="annotation reference"/>
    <w:basedOn w:val="Policepardfaut"/>
    <w:uiPriority w:val="99"/>
    <w:semiHidden/>
    <w:unhideWhenUsed/>
    <w:rsid w:val="0034766D"/>
    <w:rPr>
      <w:sz w:val="18"/>
      <w:szCs w:val="18"/>
    </w:rPr>
  </w:style>
  <w:style w:type="paragraph" w:styleId="Commentaire">
    <w:name w:val="annotation text"/>
    <w:basedOn w:val="Normal"/>
    <w:link w:val="CommentaireCar"/>
    <w:uiPriority w:val="99"/>
    <w:semiHidden/>
    <w:unhideWhenUsed/>
    <w:rsid w:val="0034766D"/>
  </w:style>
  <w:style w:type="character" w:customStyle="1" w:styleId="CommentaireCar">
    <w:name w:val="Commentaire Car"/>
    <w:basedOn w:val="Policepardfaut"/>
    <w:link w:val="Commentaire"/>
    <w:uiPriority w:val="99"/>
    <w:semiHidden/>
    <w:rsid w:val="0034766D"/>
  </w:style>
  <w:style w:type="paragraph" w:styleId="Objetducommentaire">
    <w:name w:val="annotation subject"/>
    <w:basedOn w:val="Commentaire"/>
    <w:next w:val="Commentaire"/>
    <w:link w:val="ObjetducommentaireCar"/>
    <w:uiPriority w:val="99"/>
    <w:semiHidden/>
    <w:unhideWhenUsed/>
    <w:rsid w:val="0034766D"/>
    <w:rPr>
      <w:b/>
      <w:bCs/>
      <w:sz w:val="20"/>
      <w:szCs w:val="20"/>
    </w:rPr>
  </w:style>
  <w:style w:type="character" w:customStyle="1" w:styleId="ObjetducommentaireCar">
    <w:name w:val="Objet du commentaire Car"/>
    <w:basedOn w:val="CommentaireCar"/>
    <w:link w:val="Objetducommentaire"/>
    <w:uiPriority w:val="99"/>
    <w:semiHidden/>
    <w:rsid w:val="0034766D"/>
    <w:rPr>
      <w:b/>
      <w:bCs/>
      <w:sz w:val="20"/>
      <w:szCs w:val="20"/>
    </w:rPr>
  </w:style>
  <w:style w:type="paragraph" w:styleId="Rvision">
    <w:name w:val="Revision"/>
    <w:hidden/>
    <w:uiPriority w:val="99"/>
    <w:semiHidden/>
    <w:rsid w:val="0034766D"/>
  </w:style>
  <w:style w:type="paragraph" w:styleId="Paragraphedeliste">
    <w:name w:val="List Paragraph"/>
    <w:basedOn w:val="Normal"/>
    <w:uiPriority w:val="34"/>
    <w:qFormat/>
    <w:rsid w:val="0040345A"/>
    <w:pPr>
      <w:ind w:left="720"/>
      <w:contextualSpacing/>
    </w:pPr>
    <w:rPr>
      <w:rFonts w:eastAsiaTheme="minorHAns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898</Words>
  <Characters>4939</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henkin</dc:creator>
  <cp:keywords/>
  <dc:description/>
  <cp:lastModifiedBy>Savy</cp:lastModifiedBy>
  <cp:revision>8</cp:revision>
  <dcterms:created xsi:type="dcterms:W3CDTF">2016-02-04T05:54:00Z</dcterms:created>
  <dcterms:modified xsi:type="dcterms:W3CDTF">2016-02-05T08:11:00Z</dcterms:modified>
</cp:coreProperties>
</file>