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1D1" w:rsidRPr="004A11D1" w:rsidRDefault="004A11D1" w:rsidP="004A11D1">
      <w:pPr>
        <w:shd w:val="clear" w:color="auto" w:fill="FFFFFF"/>
        <w:spacing w:before="100" w:beforeAutospacing="1" w:after="100" w:afterAutospacing="1" w:line="240" w:lineRule="auto"/>
        <w:jc w:val="center"/>
        <w:rPr>
          <w:rFonts w:ascii="Times New Roman" w:eastAsia="Times New Roman" w:hAnsi="Times New Roman" w:cs="Times New Roman"/>
          <w:color w:val="666666"/>
          <w:sz w:val="27"/>
          <w:szCs w:val="27"/>
          <w:lang w:eastAsia="fr-FR"/>
        </w:rPr>
      </w:pPr>
      <w:r>
        <w:rPr>
          <w:rFonts w:ascii="Arial" w:eastAsia="Times New Roman" w:hAnsi="Arial" w:cs="Arial"/>
          <w:b/>
          <w:bCs/>
          <w:color w:val="333333"/>
          <w:sz w:val="48"/>
          <w:szCs w:val="48"/>
          <w:lang w:eastAsia="fr-FR"/>
        </w:rPr>
        <w:t>Appel à communication</w:t>
      </w:r>
    </w:p>
    <w:p w:rsidR="004A11D1" w:rsidRPr="004A11D1" w:rsidRDefault="004A11D1" w:rsidP="004A11D1">
      <w:pPr>
        <w:shd w:val="clear" w:color="auto" w:fill="FFFFFF"/>
        <w:spacing w:before="100" w:beforeAutospacing="1" w:after="100" w:afterAutospacing="1" w:line="240" w:lineRule="auto"/>
        <w:jc w:val="center"/>
        <w:rPr>
          <w:rFonts w:ascii="Times New Roman" w:eastAsia="Times New Roman" w:hAnsi="Times New Roman" w:cs="Times New Roman"/>
          <w:color w:val="666666"/>
          <w:sz w:val="27"/>
          <w:szCs w:val="27"/>
          <w:lang w:eastAsia="fr-FR"/>
        </w:rPr>
      </w:pPr>
      <w:r w:rsidRPr="004A11D1">
        <w:rPr>
          <w:rFonts w:ascii="Arial" w:eastAsia="Times New Roman" w:hAnsi="Arial" w:cs="Arial"/>
          <w:noProof/>
          <w:color w:val="666666"/>
          <w:sz w:val="27"/>
          <w:szCs w:val="27"/>
          <w:lang w:eastAsia="fr-FR"/>
        </w:rPr>
        <w:drawing>
          <wp:inline distT="0" distB="0" distL="0" distR="0" wp14:anchorId="24A0F2CE" wp14:editId="012CFFF4">
            <wp:extent cx="3333750" cy="104775"/>
            <wp:effectExtent l="0" t="0" r="0" b="9525"/>
            <wp:docPr id="1" name="Image 1" descr="ligne_horizontale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ne_horizontale_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104775"/>
                    </a:xfrm>
                    <a:prstGeom prst="rect">
                      <a:avLst/>
                    </a:prstGeom>
                    <a:noFill/>
                    <a:ln>
                      <a:noFill/>
                    </a:ln>
                  </pic:spPr>
                </pic:pic>
              </a:graphicData>
            </a:graphic>
          </wp:inline>
        </w:drawing>
      </w:r>
      <w:r w:rsidRPr="004A11D1">
        <w:rPr>
          <w:rFonts w:ascii="Arial" w:eastAsia="Times New Roman" w:hAnsi="Arial" w:cs="Arial"/>
          <w:color w:val="666666"/>
          <w:sz w:val="27"/>
          <w:szCs w:val="27"/>
          <w:lang w:eastAsia="fr-FR"/>
        </w:rPr>
        <w:t> </w:t>
      </w:r>
    </w:p>
    <w:p w:rsidR="004A11D1" w:rsidRPr="004A11D1" w:rsidRDefault="004A11D1" w:rsidP="004A11D1">
      <w:pPr>
        <w:shd w:val="clear" w:color="auto" w:fill="FFFFFF"/>
        <w:spacing w:before="100" w:beforeAutospacing="1" w:after="100" w:afterAutospacing="1" w:line="240" w:lineRule="auto"/>
        <w:jc w:val="center"/>
        <w:rPr>
          <w:rFonts w:ascii="Times New Roman" w:eastAsia="Times New Roman" w:hAnsi="Times New Roman" w:cs="Times New Roman"/>
          <w:color w:val="666666"/>
          <w:sz w:val="27"/>
          <w:szCs w:val="27"/>
          <w:lang w:eastAsia="fr-FR"/>
        </w:rPr>
      </w:pPr>
      <w:r w:rsidRPr="004A11D1">
        <w:rPr>
          <w:rFonts w:ascii="Arial" w:eastAsia="Times New Roman" w:hAnsi="Arial" w:cs="Arial"/>
          <w:b/>
          <w:bCs/>
          <w:color w:val="FF6600"/>
          <w:sz w:val="27"/>
          <w:szCs w:val="27"/>
          <w:lang w:eastAsia="fr-FR"/>
        </w:rPr>
        <w:t>Colloque international 2017</w:t>
      </w:r>
    </w:p>
    <w:p w:rsidR="004A11D1" w:rsidRPr="004A11D1" w:rsidRDefault="004A11D1" w:rsidP="004A11D1">
      <w:pPr>
        <w:shd w:val="clear" w:color="auto" w:fill="FFFFFF"/>
        <w:spacing w:before="100" w:beforeAutospacing="1" w:after="100" w:afterAutospacing="1" w:line="240" w:lineRule="auto"/>
        <w:jc w:val="center"/>
        <w:rPr>
          <w:rFonts w:ascii="Times New Roman" w:eastAsia="Times New Roman" w:hAnsi="Times New Roman" w:cs="Times New Roman"/>
          <w:color w:val="666666"/>
          <w:sz w:val="27"/>
          <w:szCs w:val="27"/>
          <w:lang w:eastAsia="fr-FR"/>
        </w:rPr>
      </w:pPr>
      <w:r w:rsidRPr="004A11D1">
        <w:rPr>
          <w:rFonts w:ascii="Arial" w:eastAsia="Times New Roman" w:hAnsi="Arial" w:cs="Arial"/>
          <w:b/>
          <w:bCs/>
          <w:color w:val="FF6600"/>
          <w:sz w:val="27"/>
          <w:szCs w:val="27"/>
          <w:lang w:eastAsia="fr-FR"/>
        </w:rPr>
        <w:t>TABARKA (Tunisie)</w:t>
      </w:r>
    </w:p>
    <w:p w:rsidR="004A11D1" w:rsidRPr="004A11D1" w:rsidRDefault="004A11D1" w:rsidP="004A11D1">
      <w:pPr>
        <w:shd w:val="clear" w:color="auto" w:fill="FFFFFF"/>
        <w:spacing w:before="100" w:beforeAutospacing="1" w:after="100" w:afterAutospacing="1" w:line="240" w:lineRule="auto"/>
        <w:jc w:val="center"/>
        <w:rPr>
          <w:rFonts w:ascii="Times New Roman" w:eastAsia="Times New Roman" w:hAnsi="Times New Roman" w:cs="Times New Roman"/>
          <w:color w:val="666666"/>
          <w:sz w:val="27"/>
          <w:szCs w:val="27"/>
          <w:lang w:eastAsia="fr-FR"/>
        </w:rPr>
      </w:pPr>
      <w:r w:rsidRPr="004A11D1">
        <w:rPr>
          <w:rFonts w:ascii="Arial" w:eastAsia="Times New Roman" w:hAnsi="Arial" w:cs="Arial"/>
          <w:b/>
          <w:bCs/>
          <w:color w:val="FF6600"/>
          <w:sz w:val="27"/>
          <w:szCs w:val="27"/>
          <w:lang w:eastAsia="fr-FR"/>
        </w:rPr>
        <w:t>Du 17 au 19 avril 2017</w:t>
      </w:r>
    </w:p>
    <w:p w:rsidR="004A11D1" w:rsidRPr="004A11D1" w:rsidRDefault="004A11D1" w:rsidP="004A11D1">
      <w:pPr>
        <w:shd w:val="clear" w:color="auto" w:fill="FFFFFF"/>
        <w:spacing w:before="100" w:beforeAutospacing="1" w:after="100" w:afterAutospacing="1" w:line="240" w:lineRule="auto"/>
        <w:jc w:val="center"/>
        <w:rPr>
          <w:rFonts w:ascii="Times New Roman" w:eastAsia="Times New Roman" w:hAnsi="Times New Roman" w:cs="Times New Roman"/>
          <w:color w:val="666666"/>
          <w:sz w:val="27"/>
          <w:szCs w:val="27"/>
          <w:lang w:eastAsia="fr-FR"/>
        </w:rPr>
      </w:pPr>
      <w:r w:rsidRPr="004A11D1">
        <w:rPr>
          <w:rFonts w:ascii="Arial" w:eastAsia="Times New Roman" w:hAnsi="Arial" w:cs="Arial"/>
          <w:b/>
          <w:bCs/>
          <w:color w:val="666666"/>
          <w:sz w:val="24"/>
          <w:szCs w:val="24"/>
          <w:lang w:eastAsia="fr-FR"/>
        </w:rPr>
        <w:t> </w:t>
      </w:r>
    </w:p>
    <w:p w:rsidR="004A11D1" w:rsidRPr="004A11D1" w:rsidRDefault="004A11D1" w:rsidP="004A11D1">
      <w:pPr>
        <w:shd w:val="clear" w:color="auto" w:fill="FFFFFF"/>
        <w:spacing w:before="100" w:beforeAutospacing="1" w:after="100" w:afterAutospacing="1" w:line="240" w:lineRule="auto"/>
        <w:jc w:val="both"/>
        <w:rPr>
          <w:rFonts w:ascii="Times New Roman" w:eastAsia="Times New Roman" w:hAnsi="Times New Roman" w:cs="Times New Roman"/>
          <w:color w:val="666666"/>
          <w:sz w:val="27"/>
          <w:szCs w:val="27"/>
          <w:lang w:eastAsia="fr-FR"/>
        </w:rPr>
      </w:pPr>
      <w:r w:rsidRPr="004A11D1">
        <w:rPr>
          <w:rFonts w:ascii="Arial" w:eastAsia="Times New Roman" w:hAnsi="Arial" w:cs="Arial"/>
          <w:color w:val="666666"/>
          <w:sz w:val="24"/>
          <w:szCs w:val="24"/>
          <w:lang w:eastAsia="fr-FR"/>
        </w:rPr>
        <w:t>Dans le cadre du projet PHC Maghreb (15MAG25),</w:t>
      </w:r>
      <w:r w:rsidRPr="004A11D1">
        <w:rPr>
          <w:rFonts w:ascii="Arial" w:eastAsia="Times New Roman" w:hAnsi="Arial" w:cs="Arial"/>
          <w:b/>
          <w:bCs/>
          <w:color w:val="666666"/>
          <w:sz w:val="24"/>
          <w:szCs w:val="24"/>
          <w:lang w:eastAsia="fr-FR"/>
        </w:rPr>
        <w:t> l’Université de Jendouba (Tunisie)</w:t>
      </w:r>
      <w:r>
        <w:rPr>
          <w:rFonts w:ascii="Arial" w:eastAsia="Times New Roman" w:hAnsi="Arial" w:cs="Arial"/>
          <w:b/>
          <w:bCs/>
          <w:color w:val="666666"/>
          <w:sz w:val="24"/>
          <w:szCs w:val="24"/>
          <w:lang w:eastAsia="fr-FR"/>
        </w:rPr>
        <w:t xml:space="preserve"> </w:t>
      </w:r>
      <w:r w:rsidRPr="004A11D1">
        <w:rPr>
          <w:rFonts w:ascii="Arial" w:eastAsia="Times New Roman" w:hAnsi="Arial" w:cs="Arial"/>
          <w:color w:val="666666"/>
          <w:sz w:val="24"/>
          <w:szCs w:val="24"/>
          <w:lang w:eastAsia="fr-FR"/>
        </w:rPr>
        <w:t>et le </w:t>
      </w:r>
      <w:r w:rsidRPr="004A11D1">
        <w:rPr>
          <w:rFonts w:ascii="Arial" w:eastAsia="Times New Roman" w:hAnsi="Arial" w:cs="Arial"/>
          <w:b/>
          <w:bCs/>
          <w:color w:val="666666"/>
          <w:sz w:val="24"/>
          <w:szCs w:val="24"/>
          <w:lang w:eastAsia="fr-FR"/>
        </w:rPr>
        <w:t>Laboratoire de recherche </w:t>
      </w:r>
      <w:r w:rsidRPr="004A11D1">
        <w:rPr>
          <w:rFonts w:ascii="Arial" w:eastAsia="Times New Roman" w:hAnsi="Arial" w:cs="Arial"/>
          <w:b/>
          <w:bCs/>
          <w:i/>
          <w:iCs/>
          <w:color w:val="666666"/>
          <w:sz w:val="24"/>
          <w:szCs w:val="24"/>
          <w:lang w:eastAsia="fr-FR"/>
        </w:rPr>
        <w:t>Langues, Discours et Cultures</w:t>
      </w:r>
      <w:r w:rsidRPr="004A11D1">
        <w:rPr>
          <w:rFonts w:ascii="Arial" w:eastAsia="Times New Roman" w:hAnsi="Arial" w:cs="Arial"/>
          <w:b/>
          <w:bCs/>
          <w:color w:val="666666"/>
          <w:sz w:val="24"/>
          <w:szCs w:val="24"/>
          <w:lang w:eastAsia="fr-FR"/>
        </w:rPr>
        <w:t> (LDC) de Jendouba</w:t>
      </w:r>
      <w:r w:rsidRPr="004A11D1">
        <w:rPr>
          <w:rFonts w:ascii="Arial" w:eastAsia="Times New Roman" w:hAnsi="Arial" w:cs="Arial"/>
          <w:color w:val="666666"/>
          <w:sz w:val="24"/>
          <w:szCs w:val="24"/>
          <w:lang w:eastAsia="fr-FR"/>
        </w:rPr>
        <w:t>, en partenariat scientifique avec :</w:t>
      </w:r>
    </w:p>
    <w:p w:rsidR="004A11D1" w:rsidRPr="004A11D1" w:rsidRDefault="004A11D1" w:rsidP="004A11D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666666"/>
          <w:sz w:val="27"/>
          <w:szCs w:val="27"/>
          <w:lang w:eastAsia="fr-FR"/>
        </w:rPr>
      </w:pPr>
      <w:r w:rsidRPr="004A11D1">
        <w:rPr>
          <w:rFonts w:ascii="Arial" w:eastAsia="Times New Roman" w:hAnsi="Arial" w:cs="Arial"/>
          <w:b/>
          <w:bCs/>
          <w:color w:val="666666"/>
          <w:sz w:val="24"/>
          <w:szCs w:val="24"/>
          <w:lang w:eastAsia="fr-FR"/>
        </w:rPr>
        <w:t>le </w:t>
      </w:r>
      <w:r w:rsidRPr="004A11D1">
        <w:rPr>
          <w:rFonts w:ascii="Arial" w:eastAsia="Times New Roman" w:hAnsi="Arial" w:cs="Arial"/>
          <w:b/>
          <w:bCs/>
          <w:i/>
          <w:iCs/>
          <w:color w:val="666666"/>
          <w:sz w:val="24"/>
          <w:szCs w:val="24"/>
          <w:lang w:eastAsia="fr-FR"/>
        </w:rPr>
        <w:t>Laboratoire d’Études et de Recherches sur l’Interculturel</w:t>
      </w:r>
      <w:r w:rsidRPr="004A11D1">
        <w:rPr>
          <w:rFonts w:ascii="Arial" w:eastAsia="Times New Roman" w:hAnsi="Arial" w:cs="Arial"/>
          <w:b/>
          <w:bCs/>
          <w:color w:val="666666"/>
          <w:sz w:val="24"/>
          <w:szCs w:val="24"/>
          <w:lang w:eastAsia="fr-FR"/>
        </w:rPr>
        <w:t> (LERIC-URAC57) d’El Jadida (Maroc)</w:t>
      </w:r>
    </w:p>
    <w:p w:rsidR="004A11D1" w:rsidRPr="004A11D1" w:rsidRDefault="004A11D1" w:rsidP="004A11D1">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666666"/>
          <w:sz w:val="27"/>
          <w:szCs w:val="27"/>
          <w:lang w:eastAsia="fr-FR"/>
        </w:rPr>
      </w:pPr>
      <w:r w:rsidRPr="004A11D1">
        <w:rPr>
          <w:rFonts w:ascii="Arial" w:eastAsia="Times New Roman" w:hAnsi="Arial" w:cs="Arial"/>
          <w:b/>
          <w:bCs/>
          <w:color w:val="666666"/>
          <w:sz w:val="24"/>
          <w:szCs w:val="24"/>
          <w:lang w:eastAsia="fr-FR"/>
        </w:rPr>
        <w:t>le </w:t>
      </w:r>
      <w:r w:rsidRPr="004A11D1">
        <w:rPr>
          <w:rFonts w:ascii="Arial" w:eastAsia="Times New Roman" w:hAnsi="Arial" w:cs="Arial"/>
          <w:b/>
          <w:bCs/>
          <w:i/>
          <w:iCs/>
          <w:color w:val="666666"/>
          <w:sz w:val="24"/>
          <w:szCs w:val="24"/>
          <w:lang w:eastAsia="fr-FR"/>
        </w:rPr>
        <w:t>Laboratoire Interdisciplinaire de Pédagogie et de Didactique</w:t>
      </w:r>
      <w:r w:rsidRPr="004A11D1">
        <w:rPr>
          <w:rFonts w:ascii="Arial" w:eastAsia="Times New Roman" w:hAnsi="Arial" w:cs="Arial"/>
          <w:b/>
          <w:bCs/>
          <w:color w:val="666666"/>
          <w:sz w:val="24"/>
          <w:szCs w:val="24"/>
          <w:lang w:eastAsia="fr-FR"/>
        </w:rPr>
        <w:t> (LIPED) d’Annaba (Algérie)</w:t>
      </w:r>
    </w:p>
    <w:p w:rsidR="004A11D1" w:rsidRPr="004A11D1" w:rsidRDefault="004A11D1" w:rsidP="004A11D1">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666666"/>
          <w:sz w:val="27"/>
          <w:szCs w:val="27"/>
          <w:lang w:eastAsia="fr-FR"/>
        </w:rPr>
      </w:pPr>
      <w:r w:rsidRPr="004A11D1">
        <w:rPr>
          <w:rFonts w:ascii="Arial" w:eastAsia="Times New Roman" w:hAnsi="Arial" w:cs="Arial"/>
          <w:b/>
          <w:bCs/>
          <w:color w:val="666666"/>
          <w:sz w:val="24"/>
          <w:szCs w:val="24"/>
          <w:lang w:eastAsia="fr-FR"/>
        </w:rPr>
        <w:t>le </w:t>
      </w:r>
      <w:r w:rsidRPr="004A11D1">
        <w:rPr>
          <w:rFonts w:ascii="Arial" w:eastAsia="Times New Roman" w:hAnsi="Arial" w:cs="Arial"/>
          <w:b/>
          <w:bCs/>
          <w:i/>
          <w:iCs/>
          <w:color w:val="666666"/>
          <w:sz w:val="24"/>
          <w:szCs w:val="24"/>
          <w:lang w:eastAsia="fr-FR"/>
        </w:rPr>
        <w:t>Laboratoire Interuniversitaire des Sciences de l’Education et de la Communication </w:t>
      </w:r>
      <w:r w:rsidRPr="004A11D1">
        <w:rPr>
          <w:rFonts w:ascii="Arial" w:eastAsia="Times New Roman" w:hAnsi="Arial" w:cs="Arial"/>
          <w:b/>
          <w:bCs/>
          <w:color w:val="666666"/>
          <w:sz w:val="24"/>
          <w:szCs w:val="24"/>
          <w:lang w:eastAsia="fr-FR"/>
        </w:rPr>
        <w:t>(LISEC) d’Alsace et de Lorraine (France)</w:t>
      </w:r>
    </w:p>
    <w:p w:rsidR="004A11D1" w:rsidRPr="004A11D1" w:rsidRDefault="004A11D1" w:rsidP="004A11D1">
      <w:pPr>
        <w:shd w:val="clear" w:color="auto" w:fill="FFFFFF"/>
        <w:spacing w:before="100" w:beforeAutospacing="1" w:after="100" w:afterAutospacing="1" w:line="240" w:lineRule="auto"/>
        <w:jc w:val="both"/>
        <w:rPr>
          <w:rFonts w:ascii="Times New Roman" w:eastAsia="Times New Roman" w:hAnsi="Times New Roman" w:cs="Times New Roman"/>
          <w:color w:val="666666"/>
          <w:sz w:val="27"/>
          <w:szCs w:val="27"/>
          <w:lang w:eastAsia="fr-FR"/>
        </w:rPr>
      </w:pPr>
      <w:r w:rsidRPr="004A11D1">
        <w:rPr>
          <w:rFonts w:ascii="Arial" w:eastAsia="Times New Roman" w:hAnsi="Arial" w:cs="Arial"/>
          <w:color w:val="666666"/>
          <w:sz w:val="24"/>
          <w:szCs w:val="24"/>
          <w:lang w:eastAsia="fr-FR"/>
        </w:rPr>
        <w:t>Organisent un </w:t>
      </w:r>
      <w:r w:rsidRPr="004A11D1">
        <w:rPr>
          <w:rFonts w:ascii="Arial" w:eastAsia="Times New Roman" w:hAnsi="Arial" w:cs="Arial"/>
          <w:b/>
          <w:bCs/>
          <w:color w:val="666666"/>
          <w:sz w:val="24"/>
          <w:szCs w:val="24"/>
          <w:lang w:eastAsia="fr-FR"/>
        </w:rPr>
        <w:t>Colloque international </w:t>
      </w:r>
      <w:r w:rsidRPr="004A11D1">
        <w:rPr>
          <w:rFonts w:ascii="Arial" w:eastAsia="Times New Roman" w:hAnsi="Arial" w:cs="Arial"/>
          <w:color w:val="666666"/>
          <w:sz w:val="24"/>
          <w:szCs w:val="24"/>
          <w:lang w:eastAsia="fr-FR"/>
        </w:rPr>
        <w:t>sur le thème</w:t>
      </w:r>
      <w:r w:rsidRPr="004A11D1">
        <w:rPr>
          <w:rFonts w:ascii="Arial" w:eastAsia="Times New Roman" w:hAnsi="Arial" w:cs="Arial"/>
          <w:b/>
          <w:bCs/>
          <w:color w:val="666666"/>
          <w:sz w:val="24"/>
          <w:szCs w:val="24"/>
          <w:lang w:eastAsia="fr-FR"/>
        </w:rPr>
        <w:t> </w:t>
      </w:r>
    </w:p>
    <w:p w:rsidR="004A11D1" w:rsidRPr="004A11D1" w:rsidRDefault="004A11D1" w:rsidP="004A11D1">
      <w:pPr>
        <w:shd w:val="clear" w:color="auto" w:fill="FFFFFF"/>
        <w:spacing w:before="100" w:beforeAutospacing="1" w:after="100" w:afterAutospacing="1" w:line="240" w:lineRule="auto"/>
        <w:jc w:val="both"/>
        <w:rPr>
          <w:rFonts w:ascii="Times New Roman" w:eastAsia="Times New Roman" w:hAnsi="Times New Roman" w:cs="Times New Roman"/>
          <w:color w:val="666666"/>
          <w:sz w:val="27"/>
          <w:szCs w:val="27"/>
          <w:lang w:eastAsia="fr-FR"/>
        </w:rPr>
      </w:pPr>
      <w:r w:rsidRPr="004A11D1">
        <w:rPr>
          <w:rFonts w:ascii="Arial" w:eastAsia="Times New Roman" w:hAnsi="Arial" w:cs="Arial"/>
          <w:color w:val="333399"/>
          <w:sz w:val="27"/>
          <w:szCs w:val="27"/>
          <w:lang w:eastAsia="fr-FR"/>
        </w:rPr>
        <w:t>« </w:t>
      </w:r>
      <w:r w:rsidRPr="004A11D1">
        <w:rPr>
          <w:rFonts w:ascii="Arial" w:eastAsia="Times New Roman" w:hAnsi="Arial" w:cs="Arial"/>
          <w:b/>
          <w:bCs/>
          <w:i/>
          <w:iCs/>
          <w:color w:val="333399"/>
          <w:sz w:val="27"/>
          <w:szCs w:val="27"/>
          <w:lang w:eastAsia="fr-FR"/>
        </w:rPr>
        <w:t>Innovation pédagogique à l’université ou en quoi les TIC contribuent-elles à l’a</w:t>
      </w:r>
      <w:r>
        <w:rPr>
          <w:rFonts w:ascii="Arial" w:eastAsia="Times New Roman" w:hAnsi="Arial" w:cs="Arial"/>
          <w:b/>
          <w:bCs/>
          <w:i/>
          <w:iCs/>
          <w:color w:val="333399"/>
          <w:sz w:val="27"/>
          <w:szCs w:val="27"/>
          <w:lang w:eastAsia="fr-FR"/>
        </w:rPr>
        <w:t xml:space="preserve">mélioration </w:t>
      </w:r>
      <w:r w:rsidRPr="004A11D1">
        <w:rPr>
          <w:rFonts w:ascii="Arial" w:eastAsia="Times New Roman" w:hAnsi="Arial" w:cs="Arial"/>
          <w:b/>
          <w:bCs/>
          <w:i/>
          <w:iCs/>
          <w:color w:val="333399"/>
          <w:sz w:val="27"/>
          <w:szCs w:val="27"/>
          <w:lang w:eastAsia="fr-FR"/>
        </w:rPr>
        <w:t>de l’enseignement/apprentissage du et en français</w:t>
      </w:r>
      <w:r w:rsidRPr="004A11D1">
        <w:rPr>
          <w:rFonts w:ascii="Arial" w:eastAsia="Times New Roman" w:hAnsi="Arial" w:cs="Arial"/>
          <w:b/>
          <w:bCs/>
          <w:color w:val="333399"/>
          <w:sz w:val="27"/>
          <w:szCs w:val="27"/>
          <w:lang w:eastAsia="fr-FR"/>
        </w:rPr>
        <w:t> »</w:t>
      </w:r>
    </w:p>
    <w:p w:rsidR="004A11D1" w:rsidRPr="004A11D1" w:rsidRDefault="004A11D1" w:rsidP="004A11D1">
      <w:pPr>
        <w:shd w:val="clear" w:color="auto" w:fill="FFFFFF"/>
        <w:spacing w:before="100" w:beforeAutospacing="1" w:after="100" w:afterAutospacing="1" w:line="240" w:lineRule="auto"/>
        <w:jc w:val="both"/>
        <w:rPr>
          <w:rFonts w:ascii="Times New Roman" w:eastAsia="Times New Roman" w:hAnsi="Times New Roman" w:cs="Times New Roman"/>
          <w:color w:val="666666"/>
          <w:sz w:val="27"/>
          <w:szCs w:val="27"/>
          <w:lang w:eastAsia="fr-FR"/>
        </w:rPr>
      </w:pPr>
      <w:r w:rsidRPr="004A11D1">
        <w:rPr>
          <w:rFonts w:ascii="Times New Roman" w:eastAsia="Times New Roman" w:hAnsi="Times New Roman" w:cs="Times New Roman"/>
          <w:color w:val="666666"/>
          <w:sz w:val="27"/>
          <w:szCs w:val="27"/>
          <w:lang w:eastAsia="fr-FR"/>
        </w:rPr>
        <w:t>   Avec la massification de l’enseignement supérieur depuis les années 80 en Europe, l’échec universitaire et le taux d’abandon, particulièrement élevé en première année, s’est posée, dans les universités occidentales, la question des pratiques pédagogiques des enseignants et de l’apprentissage des étudiants. Se profilaient ainsi la question de la formation des enseignants du supérieur et celle de la « pédagogie universitaire». On entendait par là que les modes d’enseignement à l’université étaient trop magistraux, moins adaptés aux « nouveaux étudiants » et/ou trop disciplinaires, ce qui pouvait expliquer, en partie, l’échec ou le décrochage universitaire dans l’enseignement supérieur massifié.</w:t>
      </w:r>
    </w:p>
    <w:p w:rsidR="004A11D1" w:rsidRPr="004A11D1" w:rsidRDefault="004A11D1" w:rsidP="004A11D1">
      <w:pPr>
        <w:shd w:val="clear" w:color="auto" w:fill="FFFFFF"/>
        <w:spacing w:before="100" w:beforeAutospacing="1" w:after="100" w:afterAutospacing="1" w:line="240" w:lineRule="auto"/>
        <w:jc w:val="both"/>
        <w:rPr>
          <w:rFonts w:ascii="Times New Roman" w:eastAsia="Times New Roman" w:hAnsi="Times New Roman" w:cs="Times New Roman"/>
          <w:color w:val="666666"/>
          <w:sz w:val="27"/>
          <w:szCs w:val="27"/>
          <w:lang w:eastAsia="fr-FR"/>
        </w:rPr>
      </w:pPr>
      <w:r w:rsidRPr="004A11D1">
        <w:rPr>
          <w:rFonts w:ascii="Times New Roman" w:eastAsia="Times New Roman" w:hAnsi="Times New Roman" w:cs="Times New Roman"/>
          <w:color w:val="666666"/>
          <w:sz w:val="27"/>
          <w:szCs w:val="27"/>
          <w:lang w:eastAsia="fr-FR"/>
        </w:rPr>
        <w:t>         L’émergence des technologies de l’information et de la communication (TIC), au début des années 90, semblait être un moyen particulière</w:t>
      </w:r>
      <w:r>
        <w:rPr>
          <w:rFonts w:ascii="Times New Roman" w:eastAsia="Times New Roman" w:hAnsi="Times New Roman" w:cs="Times New Roman"/>
          <w:color w:val="666666"/>
          <w:sz w:val="27"/>
          <w:szCs w:val="27"/>
          <w:lang w:eastAsia="fr-FR"/>
        </w:rPr>
        <w:t>ment intéressant pour modifier </w:t>
      </w:r>
      <w:r w:rsidRPr="004A11D1">
        <w:rPr>
          <w:rFonts w:ascii="Times New Roman" w:eastAsia="Times New Roman" w:hAnsi="Times New Roman" w:cs="Times New Roman"/>
          <w:color w:val="666666"/>
          <w:sz w:val="27"/>
          <w:szCs w:val="27"/>
          <w:lang w:eastAsia="fr-FR"/>
        </w:rPr>
        <w:t xml:space="preserve">les pratiques pédagogiques  des enseignants du supérieur. Dans l’expérience nord-américaine, les TIC ont participé à développer une réflexion critique des pratiques enseignantes et une prise de conscience plus large vis-à-vis de la formation </w:t>
      </w:r>
      <w:r w:rsidRPr="004A11D1">
        <w:rPr>
          <w:rFonts w:ascii="Times New Roman" w:eastAsia="Times New Roman" w:hAnsi="Times New Roman" w:cs="Times New Roman"/>
          <w:color w:val="666666"/>
          <w:sz w:val="27"/>
          <w:szCs w:val="27"/>
          <w:lang w:eastAsia="fr-FR"/>
        </w:rPr>
        <w:lastRenderedPageBreak/>
        <w:t>pédagogique des universitaires. On estimait que ces technologies allaient contribuer à la transformation de  l’apprentissage comme on pouvait le lire dans l’introduction de l’ouvrage de Karsenti et Larose :</w:t>
      </w:r>
    </w:p>
    <w:p w:rsidR="004A11D1" w:rsidRPr="004A11D1" w:rsidRDefault="004A11D1" w:rsidP="004A11D1">
      <w:pPr>
        <w:shd w:val="clear" w:color="auto" w:fill="FFFFFF"/>
        <w:spacing w:before="100" w:beforeAutospacing="1" w:after="100" w:afterAutospacing="1" w:line="240" w:lineRule="auto"/>
        <w:jc w:val="both"/>
        <w:rPr>
          <w:rFonts w:ascii="Times New Roman" w:eastAsia="Times New Roman" w:hAnsi="Times New Roman" w:cs="Times New Roman"/>
          <w:color w:val="666666"/>
          <w:sz w:val="27"/>
          <w:szCs w:val="27"/>
          <w:lang w:eastAsia="fr-FR"/>
        </w:rPr>
      </w:pPr>
      <w:r w:rsidRPr="004A11D1">
        <w:rPr>
          <w:rFonts w:ascii="Times New Roman" w:eastAsia="Times New Roman" w:hAnsi="Times New Roman" w:cs="Times New Roman"/>
          <w:color w:val="666666"/>
          <w:sz w:val="27"/>
          <w:szCs w:val="27"/>
          <w:lang w:eastAsia="fr-FR"/>
        </w:rPr>
        <w:t>       «</w:t>
      </w:r>
      <w:r w:rsidRPr="004A11D1">
        <w:rPr>
          <w:rFonts w:ascii="Times New Roman" w:eastAsia="Times New Roman" w:hAnsi="Times New Roman" w:cs="Times New Roman"/>
          <w:i/>
          <w:iCs/>
          <w:color w:val="666666"/>
          <w:sz w:val="27"/>
          <w:szCs w:val="27"/>
          <w:lang w:eastAsia="fr-FR"/>
        </w:rPr>
        <w:t>Dans un monde où l’explosion des technologies numériques bouleverse les modes d’accès aux savoirs, les enjeux fondamentaux de l’intégration des TIC en pédagogie universitaire se traduisent par une modification profonde de la tâche du formateur, de l’organisation de l’enseignement, de la conception de l’apprentissage, voire de la façon dont l’étudiante ou l’étudiant s’approprie la connaissance</w:t>
      </w:r>
      <w:r w:rsidRPr="004A11D1">
        <w:rPr>
          <w:rFonts w:ascii="Times New Roman" w:eastAsia="Times New Roman" w:hAnsi="Times New Roman" w:cs="Times New Roman"/>
          <w:color w:val="666666"/>
          <w:sz w:val="27"/>
          <w:szCs w:val="27"/>
          <w:lang w:eastAsia="fr-FR"/>
        </w:rPr>
        <w:t>» (</w:t>
      </w:r>
      <w:r w:rsidRPr="004A11D1">
        <w:rPr>
          <w:rFonts w:ascii="Times New Roman" w:eastAsia="Times New Roman" w:hAnsi="Times New Roman" w:cs="Times New Roman"/>
          <w:i/>
          <w:iCs/>
          <w:color w:val="666666"/>
          <w:sz w:val="27"/>
          <w:szCs w:val="27"/>
          <w:lang w:eastAsia="fr-FR"/>
        </w:rPr>
        <w:t>TIC et pédagogies universitaires</w:t>
      </w:r>
      <w:r w:rsidRPr="004A11D1">
        <w:rPr>
          <w:rFonts w:ascii="Times New Roman" w:eastAsia="Times New Roman" w:hAnsi="Times New Roman" w:cs="Times New Roman"/>
          <w:color w:val="666666"/>
          <w:sz w:val="27"/>
          <w:szCs w:val="27"/>
          <w:lang w:eastAsia="fr-FR"/>
        </w:rPr>
        <w:t>, 2001).</w:t>
      </w:r>
    </w:p>
    <w:p w:rsidR="004A11D1" w:rsidRPr="004A11D1" w:rsidRDefault="004A11D1" w:rsidP="004A11D1">
      <w:pPr>
        <w:shd w:val="clear" w:color="auto" w:fill="FFFFFF"/>
        <w:spacing w:before="100" w:beforeAutospacing="1" w:after="100" w:afterAutospacing="1" w:line="240" w:lineRule="auto"/>
        <w:jc w:val="both"/>
        <w:rPr>
          <w:rFonts w:ascii="Times New Roman" w:eastAsia="Times New Roman" w:hAnsi="Times New Roman" w:cs="Times New Roman"/>
          <w:color w:val="666666"/>
          <w:sz w:val="27"/>
          <w:szCs w:val="27"/>
          <w:lang w:eastAsia="fr-FR"/>
        </w:rPr>
      </w:pPr>
      <w:r w:rsidRPr="004A11D1">
        <w:rPr>
          <w:rFonts w:ascii="Times New Roman" w:eastAsia="Times New Roman" w:hAnsi="Times New Roman" w:cs="Times New Roman"/>
          <w:color w:val="666666"/>
          <w:sz w:val="27"/>
          <w:szCs w:val="27"/>
          <w:lang w:eastAsia="fr-FR"/>
        </w:rPr>
        <w:t>         Dix années plus tard, on peut confronter cette hypothèse à la réalité et se demander quels sont les impacts effectifs des TIC sur le curriculum universitaire, les pratiques pédagogiques et l’apprentissage étudiant. Bien que</w:t>
      </w:r>
      <w:r w:rsidR="00A011F5" w:rsidRPr="004A11D1">
        <w:rPr>
          <w:rFonts w:ascii="Times New Roman" w:eastAsia="Times New Roman" w:hAnsi="Times New Roman" w:cs="Times New Roman"/>
          <w:color w:val="666666"/>
          <w:sz w:val="27"/>
          <w:szCs w:val="27"/>
          <w:lang w:eastAsia="fr-FR"/>
        </w:rPr>
        <w:t> les</w:t>
      </w:r>
      <w:r w:rsidRPr="004A11D1">
        <w:rPr>
          <w:rFonts w:ascii="Times New Roman" w:eastAsia="Times New Roman" w:hAnsi="Times New Roman" w:cs="Times New Roman"/>
          <w:color w:val="666666"/>
          <w:sz w:val="27"/>
          <w:szCs w:val="27"/>
          <w:lang w:eastAsia="fr-FR"/>
        </w:rPr>
        <w:t xml:space="preserve"> travaux de Raby, Karsenti, Meunier et</w:t>
      </w:r>
      <w:r w:rsidR="00A011F5" w:rsidRPr="004A11D1">
        <w:rPr>
          <w:rFonts w:ascii="Times New Roman" w:eastAsia="Times New Roman" w:hAnsi="Times New Roman" w:cs="Times New Roman"/>
          <w:color w:val="666666"/>
          <w:sz w:val="27"/>
          <w:szCs w:val="27"/>
          <w:lang w:eastAsia="fr-FR"/>
        </w:rPr>
        <w:t> Villeneuve</w:t>
      </w:r>
      <w:r w:rsidRPr="004A11D1">
        <w:rPr>
          <w:rFonts w:ascii="Times New Roman" w:eastAsia="Times New Roman" w:hAnsi="Times New Roman" w:cs="Times New Roman"/>
          <w:color w:val="666666"/>
          <w:sz w:val="27"/>
          <w:szCs w:val="27"/>
          <w:lang w:eastAsia="fr-FR"/>
        </w:rPr>
        <w:t xml:space="preserve"> (2011) reconnaissent qu’il y a une réelle introduction des TIC dans l’enseignement supérieur, ils conviennent également qu’il n’existe pas de réel « bouleversement » dans la manière d’enseigner des enseignants. Les</w:t>
      </w:r>
      <w:r w:rsidR="00A011F5" w:rsidRPr="004A11D1">
        <w:rPr>
          <w:rFonts w:ascii="Times New Roman" w:eastAsia="Times New Roman" w:hAnsi="Times New Roman" w:cs="Times New Roman"/>
          <w:color w:val="666666"/>
          <w:sz w:val="27"/>
          <w:szCs w:val="27"/>
          <w:lang w:eastAsia="fr-FR"/>
        </w:rPr>
        <w:t> auteurs</w:t>
      </w:r>
      <w:r w:rsidRPr="004A11D1">
        <w:rPr>
          <w:rFonts w:ascii="Times New Roman" w:eastAsia="Times New Roman" w:hAnsi="Times New Roman" w:cs="Times New Roman"/>
          <w:color w:val="666666"/>
          <w:sz w:val="27"/>
          <w:szCs w:val="27"/>
          <w:lang w:eastAsia="fr-FR"/>
        </w:rPr>
        <w:t xml:space="preserve"> notent que « </w:t>
      </w:r>
      <w:r w:rsidRPr="004A11D1">
        <w:rPr>
          <w:rFonts w:ascii="Times New Roman" w:eastAsia="Times New Roman" w:hAnsi="Times New Roman" w:cs="Times New Roman"/>
          <w:i/>
          <w:iCs/>
          <w:color w:val="666666"/>
          <w:sz w:val="27"/>
          <w:szCs w:val="27"/>
          <w:lang w:eastAsia="fr-FR"/>
        </w:rPr>
        <w:t>dans ce contexte d’un usage accru, mais souvent traditionnel des TIC en pédagogie universitaire, il convient de se demander si les TIC viennent nécessairement enrichir, rehausser ou approfondir les apprentissages qui se réalisent à l’université ».</w:t>
      </w:r>
    </w:p>
    <w:p w:rsidR="004A11D1" w:rsidRPr="004A11D1" w:rsidRDefault="004A11D1" w:rsidP="004A11D1">
      <w:pPr>
        <w:shd w:val="clear" w:color="auto" w:fill="FFFFFF"/>
        <w:spacing w:before="100" w:beforeAutospacing="1" w:after="100" w:afterAutospacing="1" w:line="240" w:lineRule="auto"/>
        <w:jc w:val="both"/>
        <w:rPr>
          <w:rFonts w:ascii="Times New Roman" w:eastAsia="Times New Roman" w:hAnsi="Times New Roman" w:cs="Times New Roman"/>
          <w:color w:val="666666"/>
          <w:sz w:val="27"/>
          <w:szCs w:val="27"/>
          <w:lang w:eastAsia="fr-FR"/>
        </w:rPr>
      </w:pPr>
      <w:r w:rsidRPr="004A11D1">
        <w:rPr>
          <w:rFonts w:ascii="Times New Roman" w:eastAsia="Times New Roman" w:hAnsi="Times New Roman" w:cs="Times New Roman"/>
          <w:color w:val="666666"/>
          <w:sz w:val="27"/>
          <w:szCs w:val="27"/>
          <w:lang w:eastAsia="fr-FR"/>
        </w:rPr>
        <w:t>          Dans ce sens, on observe, depuis plusieurs années, un peu partout dans l’enseignement et l’apprentissage du français, langue seconde ou langue étrangère, dans le supérieur, un intérêt grandissant pour le recours à l’ordinateur, à l’Internet, au multimédia et autres TIC. Pour beaucoup d’enseignants, les TIC permettent un enseignement plus intéressant et parfois ludique, grâce à l’utilisation de logiciels qui servent à travailler l’écoute, la prononciation, la compréhension orale, la grammaire, en respectant les rythmes d’apprentissage de chaque apprenant. L’usage des TIC tend aussi à favoriser un dialogue intergénérationnel entre les étudiants, souvent plus familiers et ouverts aux outils numériques, et les enseignants. On est cependant obligé de constater que certains</w:t>
      </w:r>
      <w:r w:rsidR="00A011F5" w:rsidRPr="004A11D1">
        <w:rPr>
          <w:rFonts w:ascii="Times New Roman" w:eastAsia="Times New Roman" w:hAnsi="Times New Roman" w:cs="Times New Roman"/>
          <w:color w:val="666666"/>
          <w:sz w:val="27"/>
          <w:szCs w:val="27"/>
          <w:lang w:eastAsia="fr-FR"/>
        </w:rPr>
        <w:t> pays</w:t>
      </w:r>
      <w:r w:rsidRPr="004A11D1">
        <w:rPr>
          <w:rFonts w:ascii="Times New Roman" w:eastAsia="Times New Roman" w:hAnsi="Times New Roman" w:cs="Times New Roman"/>
          <w:color w:val="666666"/>
          <w:sz w:val="27"/>
          <w:szCs w:val="27"/>
          <w:lang w:eastAsia="fr-FR"/>
        </w:rPr>
        <w:t xml:space="preserve"> du sud, plus particulièrement ceux du Maghreb, accusent un retard important dans l’utilisation des TIC. Alors que le coût de l’usage des outils numériques diminue et que les établissements universitaires sont généralement bien équipés, les effets attendus tardent à se concrétiser ou se font attendre. Ces ressources sont beaucoup plus souvent utilisées pour télécharger des documents, envoyer et recevoir des mails, accéder aux réseaux sociaux, chater, jouer en ligne… De plus, ces usages semblent viser davantage les aspects techniques des TIC sans s’intéresser à une nouvelle culture pédagogique ou à un bouleversement ergonomique de l’université.  Autrement dit, les établissements sont bien numérisés mais sans pouvoir entrer effectivement dans une logique numérique intégrale et décloisonner les espaces et les dispositifs (hors classe/classe, hors université/université). Bien que les textes officiels de chacun des pays maghrébins incitent à l'utilisation d'outils informatiques, l’enseignement reste essentiellement livresque, l’importance étant accordée aux composants de l’ordinateur, aux systèmes </w:t>
      </w:r>
      <w:r w:rsidRPr="004A11D1">
        <w:rPr>
          <w:rFonts w:ascii="Times New Roman" w:eastAsia="Times New Roman" w:hAnsi="Times New Roman" w:cs="Times New Roman"/>
          <w:color w:val="666666"/>
          <w:sz w:val="27"/>
          <w:szCs w:val="27"/>
          <w:lang w:eastAsia="fr-FR"/>
        </w:rPr>
        <w:lastRenderedPageBreak/>
        <w:t>d’exploitation ; l’informatique est enseignée comme discipline indépendante sans aucun lien avec les autres matières, sans aucune application pédagogique.</w:t>
      </w:r>
    </w:p>
    <w:p w:rsidR="004A11D1" w:rsidRPr="004A11D1" w:rsidRDefault="004A11D1" w:rsidP="004A11D1">
      <w:pPr>
        <w:shd w:val="clear" w:color="auto" w:fill="FFFFFF"/>
        <w:spacing w:before="100" w:beforeAutospacing="1" w:after="100" w:afterAutospacing="1" w:line="240" w:lineRule="auto"/>
        <w:jc w:val="both"/>
        <w:rPr>
          <w:rFonts w:ascii="Times New Roman" w:eastAsia="Times New Roman" w:hAnsi="Times New Roman" w:cs="Times New Roman"/>
          <w:color w:val="666666"/>
          <w:sz w:val="27"/>
          <w:szCs w:val="27"/>
          <w:lang w:eastAsia="fr-FR"/>
        </w:rPr>
      </w:pPr>
      <w:r w:rsidRPr="004A11D1">
        <w:rPr>
          <w:rFonts w:ascii="Times New Roman" w:eastAsia="Times New Roman" w:hAnsi="Times New Roman" w:cs="Times New Roman"/>
          <w:color w:val="666666"/>
          <w:sz w:val="27"/>
          <w:szCs w:val="27"/>
          <w:lang w:eastAsia="fr-FR"/>
        </w:rPr>
        <w:t>      L’objectif de ce colloque est de questionner l’efficacité de l’introduction, voire de l’intégration, des TIC dans l’enseignement supérieur, notamment dans l’enseignement-apprentissage des langues. Le colloque sera l’occasion de faire un état des lieux de l’utilisation des TIC dans l’enseignement supérieur maghrébin et plus particulièrement dans l’enseignement du et en français, d’interroger l’usage que font les étudiants et les enseignants de technologies institutionnelles ou personnelles, de présenter les résultats de travaux empiriques démontrant le degré d’intégration et l’apport des TIC dans l’amélioration de</w:t>
      </w:r>
      <w:r w:rsidR="00A011F5" w:rsidRPr="004A11D1">
        <w:rPr>
          <w:rFonts w:ascii="Times New Roman" w:eastAsia="Times New Roman" w:hAnsi="Times New Roman" w:cs="Times New Roman"/>
          <w:color w:val="666666"/>
          <w:sz w:val="27"/>
          <w:szCs w:val="27"/>
          <w:lang w:eastAsia="fr-FR"/>
        </w:rPr>
        <w:t> l’apprentissage</w:t>
      </w:r>
      <w:r w:rsidRPr="004A11D1">
        <w:rPr>
          <w:rFonts w:ascii="Times New Roman" w:eastAsia="Times New Roman" w:hAnsi="Times New Roman" w:cs="Times New Roman"/>
          <w:color w:val="666666"/>
          <w:sz w:val="27"/>
          <w:szCs w:val="27"/>
          <w:lang w:eastAsia="fr-FR"/>
        </w:rPr>
        <w:t xml:space="preserve"> des étudiants.  Il s’agit de contribuer aux débats critiques autour de l’usage des outils numériques et de repérer les décalages observables entre les effets attendus et les changements réels dans le curriculum et la culture universitaire.</w:t>
      </w:r>
    </w:p>
    <w:p w:rsidR="004A11D1" w:rsidRPr="004A11D1" w:rsidRDefault="004A11D1" w:rsidP="004A11D1">
      <w:pPr>
        <w:shd w:val="clear" w:color="auto" w:fill="FFFFFF"/>
        <w:spacing w:before="100" w:beforeAutospacing="1" w:after="100" w:afterAutospacing="1" w:line="240" w:lineRule="auto"/>
        <w:jc w:val="both"/>
        <w:rPr>
          <w:rFonts w:ascii="Times New Roman" w:eastAsia="Times New Roman" w:hAnsi="Times New Roman" w:cs="Times New Roman"/>
          <w:color w:val="666666"/>
          <w:sz w:val="27"/>
          <w:szCs w:val="27"/>
          <w:lang w:eastAsia="fr-FR"/>
        </w:rPr>
      </w:pPr>
      <w:r w:rsidRPr="004A11D1">
        <w:rPr>
          <w:rFonts w:ascii="Times New Roman" w:eastAsia="Times New Roman" w:hAnsi="Times New Roman" w:cs="Times New Roman"/>
          <w:color w:val="666666"/>
          <w:sz w:val="27"/>
          <w:szCs w:val="27"/>
          <w:lang w:eastAsia="fr-FR"/>
        </w:rPr>
        <w:t> </w:t>
      </w:r>
    </w:p>
    <w:p w:rsidR="004A11D1" w:rsidRPr="004A11D1" w:rsidRDefault="004A11D1" w:rsidP="004A11D1">
      <w:pPr>
        <w:shd w:val="clear" w:color="auto" w:fill="FFFFFF"/>
        <w:spacing w:before="100" w:beforeAutospacing="1" w:after="100" w:afterAutospacing="1" w:line="240" w:lineRule="auto"/>
        <w:jc w:val="both"/>
        <w:rPr>
          <w:rFonts w:ascii="Times New Roman" w:eastAsia="Times New Roman" w:hAnsi="Times New Roman" w:cs="Times New Roman"/>
          <w:color w:val="666666"/>
          <w:sz w:val="27"/>
          <w:szCs w:val="27"/>
          <w:lang w:eastAsia="fr-FR"/>
        </w:rPr>
      </w:pPr>
      <w:r w:rsidRPr="004A11D1">
        <w:rPr>
          <w:rFonts w:ascii="Times New Roman" w:eastAsia="Times New Roman" w:hAnsi="Times New Roman" w:cs="Times New Roman"/>
          <w:b/>
          <w:bCs/>
          <w:color w:val="666666"/>
          <w:sz w:val="27"/>
          <w:szCs w:val="27"/>
          <w:lang w:eastAsia="fr-FR"/>
        </w:rPr>
        <w:t>Axes du colloque</w:t>
      </w:r>
      <w:r>
        <w:rPr>
          <w:rFonts w:ascii="Times New Roman" w:eastAsia="Times New Roman" w:hAnsi="Times New Roman" w:cs="Times New Roman"/>
          <w:b/>
          <w:bCs/>
          <w:color w:val="666666"/>
          <w:sz w:val="27"/>
          <w:szCs w:val="27"/>
          <w:lang w:eastAsia="fr-FR"/>
        </w:rPr>
        <w:t xml:space="preserve"> </w:t>
      </w:r>
      <w:r w:rsidRPr="004A11D1">
        <w:rPr>
          <w:rFonts w:ascii="Times New Roman" w:eastAsia="Times New Roman" w:hAnsi="Times New Roman" w:cs="Times New Roman"/>
          <w:color w:val="666666"/>
          <w:sz w:val="27"/>
          <w:szCs w:val="27"/>
          <w:lang w:eastAsia="fr-FR"/>
        </w:rPr>
        <w:t>(à titre indicatif)</w:t>
      </w:r>
    </w:p>
    <w:p w:rsidR="004A11D1" w:rsidRPr="004A11D1" w:rsidRDefault="004A11D1" w:rsidP="004A11D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666666"/>
          <w:sz w:val="27"/>
          <w:szCs w:val="27"/>
          <w:lang w:eastAsia="fr-FR"/>
        </w:rPr>
      </w:pPr>
      <w:r w:rsidRPr="004A11D1">
        <w:rPr>
          <w:rFonts w:ascii="Times New Roman" w:eastAsia="Times New Roman" w:hAnsi="Times New Roman" w:cs="Times New Roman"/>
          <w:b/>
          <w:bCs/>
          <w:color w:val="666666"/>
          <w:sz w:val="27"/>
          <w:szCs w:val="27"/>
          <w:lang w:eastAsia="fr-FR"/>
        </w:rPr>
        <w:t>Axe 1 </w:t>
      </w:r>
      <w:r w:rsidRPr="004A11D1">
        <w:rPr>
          <w:rFonts w:ascii="Times New Roman" w:eastAsia="Times New Roman" w:hAnsi="Times New Roman" w:cs="Times New Roman"/>
          <w:color w:val="666666"/>
          <w:sz w:val="27"/>
          <w:szCs w:val="27"/>
          <w:lang w:eastAsia="fr-FR"/>
        </w:rPr>
        <w:t>: Usage et non usage des TIC dans l’enseignement</w:t>
      </w:r>
    </w:p>
    <w:p w:rsidR="004A11D1" w:rsidRPr="004A11D1" w:rsidRDefault="004A11D1" w:rsidP="004A11D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666666"/>
          <w:sz w:val="27"/>
          <w:szCs w:val="27"/>
          <w:lang w:eastAsia="fr-FR"/>
        </w:rPr>
      </w:pPr>
      <w:r w:rsidRPr="004A11D1">
        <w:rPr>
          <w:rFonts w:ascii="Times New Roman" w:eastAsia="Times New Roman" w:hAnsi="Times New Roman" w:cs="Times New Roman"/>
          <w:b/>
          <w:bCs/>
          <w:color w:val="666666"/>
          <w:sz w:val="27"/>
          <w:szCs w:val="27"/>
          <w:lang w:eastAsia="fr-FR"/>
        </w:rPr>
        <w:t>Axe 2 </w:t>
      </w:r>
      <w:r w:rsidRPr="004A11D1">
        <w:rPr>
          <w:rFonts w:ascii="Times New Roman" w:eastAsia="Times New Roman" w:hAnsi="Times New Roman" w:cs="Times New Roman"/>
          <w:color w:val="666666"/>
          <w:sz w:val="27"/>
          <w:szCs w:val="27"/>
          <w:lang w:eastAsia="fr-FR"/>
        </w:rPr>
        <w:t>: TIC, pédagogie universitaire et innovation pédagogique</w:t>
      </w:r>
    </w:p>
    <w:p w:rsidR="004A11D1" w:rsidRPr="004A11D1" w:rsidRDefault="004A11D1" w:rsidP="004A11D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666666"/>
          <w:sz w:val="27"/>
          <w:szCs w:val="27"/>
          <w:lang w:eastAsia="fr-FR"/>
        </w:rPr>
      </w:pPr>
      <w:r w:rsidRPr="004A11D1">
        <w:rPr>
          <w:rFonts w:ascii="Times New Roman" w:eastAsia="Times New Roman" w:hAnsi="Times New Roman" w:cs="Times New Roman"/>
          <w:b/>
          <w:bCs/>
          <w:color w:val="666666"/>
          <w:sz w:val="27"/>
          <w:szCs w:val="27"/>
          <w:lang w:eastAsia="fr-FR"/>
        </w:rPr>
        <w:t>Axe 3 </w:t>
      </w:r>
      <w:r w:rsidRPr="004A11D1">
        <w:rPr>
          <w:rFonts w:ascii="Times New Roman" w:eastAsia="Times New Roman" w:hAnsi="Times New Roman" w:cs="Times New Roman"/>
          <w:color w:val="666666"/>
          <w:sz w:val="27"/>
          <w:szCs w:val="27"/>
          <w:lang w:eastAsia="fr-FR"/>
        </w:rPr>
        <w:t>: TIC et didactique des langues et des cultures</w:t>
      </w:r>
    </w:p>
    <w:p w:rsidR="004A11D1" w:rsidRDefault="004A11D1" w:rsidP="004A11D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666666"/>
          <w:sz w:val="27"/>
          <w:szCs w:val="27"/>
          <w:lang w:eastAsia="fr-FR"/>
        </w:rPr>
      </w:pPr>
      <w:r w:rsidRPr="004A11D1">
        <w:rPr>
          <w:rFonts w:ascii="Times New Roman" w:eastAsia="Times New Roman" w:hAnsi="Times New Roman" w:cs="Times New Roman"/>
          <w:b/>
          <w:bCs/>
          <w:color w:val="666666"/>
          <w:sz w:val="27"/>
          <w:szCs w:val="27"/>
          <w:lang w:eastAsia="fr-FR"/>
        </w:rPr>
        <w:t>Axe 4 </w:t>
      </w:r>
      <w:r w:rsidRPr="004A11D1">
        <w:rPr>
          <w:rFonts w:ascii="Times New Roman" w:eastAsia="Times New Roman" w:hAnsi="Times New Roman" w:cs="Times New Roman"/>
          <w:color w:val="666666"/>
          <w:sz w:val="27"/>
          <w:szCs w:val="27"/>
          <w:lang w:eastAsia="fr-FR"/>
        </w:rPr>
        <w:t>: Efficacité, équité et efficience des TICE</w:t>
      </w:r>
    </w:p>
    <w:p w:rsidR="004A11D1" w:rsidRDefault="004A11D1" w:rsidP="004A11D1">
      <w:pPr>
        <w:shd w:val="clear" w:color="auto" w:fill="FFFFFF"/>
        <w:spacing w:before="100" w:beforeAutospacing="1" w:after="100" w:afterAutospacing="1" w:line="240" w:lineRule="auto"/>
        <w:jc w:val="both"/>
        <w:rPr>
          <w:color w:val="666666"/>
          <w:sz w:val="27"/>
          <w:szCs w:val="27"/>
          <w:shd w:val="clear" w:color="auto" w:fill="FFFFFF"/>
        </w:rPr>
      </w:pPr>
    </w:p>
    <w:p w:rsidR="004A11D1" w:rsidRDefault="004A11D1" w:rsidP="004A11D1">
      <w:pPr>
        <w:shd w:val="clear" w:color="auto" w:fill="FFFFFF"/>
        <w:spacing w:before="100" w:beforeAutospacing="1" w:after="100" w:afterAutospacing="1" w:line="240" w:lineRule="auto"/>
        <w:jc w:val="both"/>
        <w:rPr>
          <w:color w:val="666666"/>
          <w:sz w:val="27"/>
          <w:szCs w:val="27"/>
          <w:shd w:val="clear" w:color="auto" w:fill="FFFFFF"/>
        </w:rPr>
      </w:pPr>
      <w:r>
        <w:rPr>
          <w:color w:val="666666"/>
          <w:sz w:val="27"/>
          <w:szCs w:val="27"/>
          <w:shd w:val="clear" w:color="auto" w:fill="FFFFFF"/>
        </w:rPr>
        <w:t>Les propositions de communication (d’une durée de 20 minutes) doivent être déposées sur le site du colloque. Elles feront l’objet d’une double évaluation anonyme.</w:t>
      </w:r>
    </w:p>
    <w:p w:rsidR="00A011F5" w:rsidRPr="00A011F5" w:rsidRDefault="00A011F5" w:rsidP="00A011F5">
      <w:pPr>
        <w:shd w:val="clear" w:color="auto" w:fill="FFFFFF"/>
        <w:spacing w:before="100" w:beforeAutospacing="1" w:after="100" w:afterAutospacing="1" w:line="240" w:lineRule="auto"/>
        <w:jc w:val="both"/>
        <w:rPr>
          <w:color w:val="666666"/>
          <w:sz w:val="27"/>
          <w:szCs w:val="27"/>
          <w:shd w:val="clear" w:color="auto" w:fill="FFFFFF"/>
        </w:rPr>
      </w:pPr>
      <w:r>
        <w:rPr>
          <w:color w:val="666666"/>
          <w:sz w:val="27"/>
          <w:szCs w:val="27"/>
          <w:shd w:val="clear" w:color="auto" w:fill="FFFFFF"/>
        </w:rPr>
        <w:t xml:space="preserve">Adresse Web du site du colloque : </w:t>
      </w:r>
      <w:r w:rsidRPr="00A011F5">
        <w:rPr>
          <w:color w:val="666666"/>
          <w:sz w:val="27"/>
          <w:szCs w:val="27"/>
          <w:shd w:val="clear" w:color="auto" w:fill="FFFFFF"/>
        </w:rPr>
        <w:t>https://ipu2017.sciencesconf.org/</w:t>
      </w:r>
    </w:p>
    <w:p w:rsidR="004A11D1" w:rsidRPr="004A11D1" w:rsidRDefault="004A11D1" w:rsidP="004A11D1">
      <w:pPr>
        <w:shd w:val="clear" w:color="auto" w:fill="FFFFFF"/>
        <w:spacing w:before="100" w:beforeAutospacing="1" w:after="100" w:afterAutospacing="1" w:line="240" w:lineRule="auto"/>
        <w:rPr>
          <w:rFonts w:ascii="Times New Roman" w:eastAsia="Times New Roman" w:hAnsi="Times New Roman" w:cs="Times New Roman"/>
          <w:color w:val="666666"/>
          <w:sz w:val="27"/>
          <w:szCs w:val="27"/>
          <w:lang w:eastAsia="fr-FR"/>
        </w:rPr>
      </w:pPr>
      <w:r w:rsidRPr="004A11D1">
        <w:rPr>
          <w:rFonts w:ascii="Arial" w:eastAsia="Times New Roman" w:hAnsi="Arial" w:cs="Arial"/>
          <w:b/>
          <w:bCs/>
          <w:color w:val="333333"/>
          <w:sz w:val="48"/>
          <w:szCs w:val="48"/>
          <w:lang w:eastAsia="fr-FR"/>
        </w:rPr>
        <w:t>Comité scientifique</w:t>
      </w:r>
      <w:r w:rsidRPr="004A11D1">
        <w:rPr>
          <w:rFonts w:ascii="Arial" w:eastAsia="Times New Roman" w:hAnsi="Arial" w:cs="Arial"/>
          <w:b/>
          <w:bCs/>
          <w:color w:val="003300"/>
          <w:sz w:val="48"/>
          <w:szCs w:val="48"/>
          <w:lang w:eastAsia="fr-FR"/>
        </w:rPr>
        <w:t> </w:t>
      </w:r>
    </w:p>
    <w:p w:rsidR="004A11D1" w:rsidRPr="004A11D1" w:rsidRDefault="004A11D1" w:rsidP="004A11D1">
      <w:pPr>
        <w:pStyle w:val="Paragraphedeliste"/>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666666"/>
          <w:sz w:val="27"/>
          <w:szCs w:val="27"/>
          <w:lang w:eastAsia="fr-FR"/>
        </w:rPr>
      </w:pPr>
      <w:r w:rsidRPr="004A11D1">
        <w:rPr>
          <w:rFonts w:ascii="Times New Roman" w:eastAsia="Times New Roman" w:hAnsi="Times New Roman" w:cs="Times New Roman"/>
          <w:color w:val="666666"/>
          <w:sz w:val="27"/>
          <w:szCs w:val="27"/>
          <w:lang w:eastAsia="fr-FR"/>
        </w:rPr>
        <w:t>Jacqueline Bacha (Université de Jendouba, Tunisie),</w:t>
      </w:r>
    </w:p>
    <w:p w:rsidR="004A11D1" w:rsidRPr="004A11D1" w:rsidRDefault="004A11D1" w:rsidP="004A11D1">
      <w:pPr>
        <w:pStyle w:val="Paragraphedeliste"/>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666666"/>
          <w:sz w:val="27"/>
          <w:szCs w:val="27"/>
          <w:lang w:eastAsia="fr-FR"/>
        </w:rPr>
      </w:pPr>
      <w:r w:rsidRPr="004A11D1">
        <w:rPr>
          <w:rFonts w:ascii="Times New Roman" w:eastAsia="Times New Roman" w:hAnsi="Times New Roman" w:cs="Times New Roman"/>
          <w:color w:val="666666"/>
          <w:sz w:val="27"/>
          <w:szCs w:val="27"/>
          <w:lang w:eastAsia="fr-FR"/>
        </w:rPr>
        <w:t>Sandoss Ben Abid-Zarrouk (Université Haute Alsace, France),</w:t>
      </w:r>
    </w:p>
    <w:p w:rsidR="004A11D1" w:rsidRPr="004A11D1" w:rsidRDefault="004A11D1" w:rsidP="004A11D1">
      <w:pPr>
        <w:pStyle w:val="Paragraphedeliste"/>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666666"/>
          <w:sz w:val="27"/>
          <w:szCs w:val="27"/>
          <w:lang w:eastAsia="fr-FR"/>
        </w:rPr>
      </w:pPr>
      <w:r w:rsidRPr="004A11D1">
        <w:rPr>
          <w:rFonts w:ascii="Times New Roman" w:eastAsia="Times New Roman" w:hAnsi="Times New Roman" w:cs="Times New Roman"/>
          <w:color w:val="666666"/>
          <w:sz w:val="27"/>
          <w:szCs w:val="27"/>
          <w:lang w:eastAsia="fr-FR"/>
        </w:rPr>
        <w:t>Loic Chalmel (Université Haute Alsace, France),</w:t>
      </w:r>
    </w:p>
    <w:p w:rsidR="004A11D1" w:rsidRPr="004A11D1" w:rsidRDefault="004A11D1" w:rsidP="004A11D1">
      <w:pPr>
        <w:pStyle w:val="Paragraphedeliste"/>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666666"/>
          <w:sz w:val="27"/>
          <w:szCs w:val="27"/>
          <w:lang w:eastAsia="fr-FR"/>
        </w:rPr>
      </w:pPr>
      <w:r w:rsidRPr="004A11D1">
        <w:rPr>
          <w:rFonts w:ascii="Times New Roman" w:eastAsia="Times New Roman" w:hAnsi="Times New Roman" w:cs="Times New Roman"/>
          <w:color w:val="666666"/>
          <w:sz w:val="27"/>
          <w:szCs w:val="27"/>
          <w:lang w:eastAsia="fr-FR"/>
        </w:rPr>
        <w:t>Abdellatif Chiadli (Université Mohammed V, Maroc),</w:t>
      </w:r>
    </w:p>
    <w:p w:rsidR="004A11D1" w:rsidRPr="004A11D1" w:rsidRDefault="004A11D1" w:rsidP="004A11D1">
      <w:pPr>
        <w:pStyle w:val="Paragraphedeliste"/>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666666"/>
          <w:sz w:val="27"/>
          <w:szCs w:val="27"/>
          <w:lang w:eastAsia="fr-FR"/>
        </w:rPr>
      </w:pPr>
      <w:r w:rsidRPr="004A11D1">
        <w:rPr>
          <w:rFonts w:ascii="Times New Roman" w:eastAsia="Times New Roman" w:hAnsi="Times New Roman" w:cs="Times New Roman"/>
          <w:color w:val="666666"/>
          <w:sz w:val="27"/>
          <w:szCs w:val="27"/>
          <w:lang w:eastAsia="fr-FR"/>
        </w:rPr>
        <w:t>Bernard Coulibaly (Université Haute Alsace, France),</w:t>
      </w:r>
    </w:p>
    <w:p w:rsidR="004A11D1" w:rsidRPr="004A11D1" w:rsidRDefault="004A11D1" w:rsidP="004A11D1">
      <w:pPr>
        <w:pStyle w:val="Paragraphedeliste"/>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666666"/>
          <w:sz w:val="27"/>
          <w:szCs w:val="27"/>
          <w:lang w:eastAsia="fr-FR"/>
        </w:rPr>
      </w:pPr>
      <w:r w:rsidRPr="004A11D1">
        <w:rPr>
          <w:rFonts w:ascii="Times New Roman" w:eastAsia="Times New Roman" w:hAnsi="Times New Roman" w:cs="Times New Roman"/>
          <w:color w:val="666666"/>
          <w:sz w:val="27"/>
          <w:szCs w:val="27"/>
          <w:lang w:eastAsia="fr-FR"/>
        </w:rPr>
        <w:t>Latifa Kadi-Ksouri (Université Badji Mokhtar, Algérie),</w:t>
      </w:r>
    </w:p>
    <w:p w:rsidR="004A11D1" w:rsidRPr="004A11D1" w:rsidRDefault="004A11D1" w:rsidP="004A11D1">
      <w:pPr>
        <w:pStyle w:val="Paragraphedeliste"/>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666666"/>
          <w:sz w:val="27"/>
          <w:szCs w:val="27"/>
          <w:lang w:eastAsia="fr-FR"/>
        </w:rPr>
      </w:pPr>
      <w:r w:rsidRPr="004A11D1">
        <w:rPr>
          <w:rFonts w:ascii="Times New Roman" w:eastAsia="Times New Roman" w:hAnsi="Times New Roman" w:cs="Times New Roman"/>
          <w:color w:val="666666"/>
          <w:sz w:val="27"/>
          <w:szCs w:val="27"/>
          <w:lang w:eastAsia="fr-FR"/>
        </w:rPr>
        <w:t>Khebbeb Akila (Université Badji Mokhtar, Algérie),</w:t>
      </w:r>
    </w:p>
    <w:p w:rsidR="004A11D1" w:rsidRPr="004A11D1" w:rsidRDefault="004A11D1" w:rsidP="004A11D1">
      <w:pPr>
        <w:pStyle w:val="Paragraphedeliste"/>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666666"/>
          <w:sz w:val="27"/>
          <w:szCs w:val="27"/>
          <w:lang w:eastAsia="fr-FR"/>
        </w:rPr>
      </w:pPr>
      <w:r w:rsidRPr="004A11D1">
        <w:rPr>
          <w:rFonts w:ascii="Times New Roman" w:eastAsia="Times New Roman" w:hAnsi="Times New Roman" w:cs="Times New Roman"/>
          <w:color w:val="666666"/>
          <w:sz w:val="27"/>
          <w:szCs w:val="27"/>
          <w:lang w:eastAsia="fr-FR"/>
        </w:rPr>
        <w:t>Samir Labidi (Université de Tunis, Tunisie),</w:t>
      </w:r>
    </w:p>
    <w:p w:rsidR="004A11D1" w:rsidRPr="004A11D1" w:rsidRDefault="004A11D1" w:rsidP="004A11D1">
      <w:pPr>
        <w:pStyle w:val="Paragraphedeliste"/>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666666"/>
          <w:sz w:val="27"/>
          <w:szCs w:val="27"/>
          <w:lang w:eastAsia="fr-FR"/>
        </w:rPr>
      </w:pPr>
      <w:r w:rsidRPr="004A11D1">
        <w:rPr>
          <w:rFonts w:ascii="Times New Roman" w:eastAsia="Times New Roman" w:hAnsi="Times New Roman" w:cs="Times New Roman"/>
          <w:color w:val="666666"/>
          <w:sz w:val="27"/>
          <w:szCs w:val="27"/>
          <w:lang w:eastAsia="fr-FR"/>
        </w:rPr>
        <w:t>Abdelouahed Mabrour (Université Chouaîb Doukkali, Maroc),</w:t>
      </w:r>
    </w:p>
    <w:p w:rsidR="004A11D1" w:rsidRPr="004A11D1" w:rsidRDefault="004A11D1" w:rsidP="004A11D1">
      <w:pPr>
        <w:pStyle w:val="Paragraphedeliste"/>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666666"/>
          <w:sz w:val="27"/>
          <w:szCs w:val="27"/>
          <w:lang w:eastAsia="fr-FR"/>
        </w:rPr>
      </w:pPr>
      <w:r w:rsidRPr="004A11D1">
        <w:rPr>
          <w:rFonts w:ascii="Times New Roman" w:eastAsia="Times New Roman" w:hAnsi="Times New Roman" w:cs="Times New Roman"/>
          <w:color w:val="666666"/>
          <w:sz w:val="27"/>
          <w:szCs w:val="27"/>
          <w:lang w:eastAsia="fr-FR"/>
        </w:rPr>
        <w:t>Pascal Marquet (Université de Strasbourg, France),</w:t>
      </w:r>
    </w:p>
    <w:p w:rsidR="004A11D1" w:rsidRPr="004A11D1" w:rsidRDefault="004A11D1" w:rsidP="004A11D1">
      <w:pPr>
        <w:pStyle w:val="Paragraphedeliste"/>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666666"/>
          <w:sz w:val="27"/>
          <w:szCs w:val="27"/>
          <w:lang w:eastAsia="fr-FR"/>
        </w:rPr>
      </w:pPr>
      <w:r w:rsidRPr="004A11D1">
        <w:rPr>
          <w:rFonts w:ascii="Times New Roman" w:eastAsia="Times New Roman" w:hAnsi="Times New Roman" w:cs="Times New Roman"/>
          <w:color w:val="666666"/>
          <w:sz w:val="27"/>
          <w:szCs w:val="27"/>
          <w:lang w:eastAsia="fr-FR"/>
        </w:rPr>
        <w:lastRenderedPageBreak/>
        <w:t>Khalil Mgharfaoui (Université Chouaîb Doukkali, Maroc),</w:t>
      </w:r>
    </w:p>
    <w:p w:rsidR="004A11D1" w:rsidRPr="004A11D1" w:rsidRDefault="004A11D1" w:rsidP="004A11D1">
      <w:pPr>
        <w:pStyle w:val="Paragraphedeliste"/>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666666"/>
          <w:sz w:val="27"/>
          <w:szCs w:val="27"/>
          <w:lang w:eastAsia="fr-FR"/>
        </w:rPr>
      </w:pPr>
      <w:r w:rsidRPr="004A11D1">
        <w:rPr>
          <w:rFonts w:ascii="Times New Roman" w:eastAsia="Times New Roman" w:hAnsi="Times New Roman" w:cs="Times New Roman"/>
          <w:color w:val="666666"/>
          <w:sz w:val="27"/>
          <w:szCs w:val="27"/>
          <w:lang w:eastAsia="fr-FR"/>
        </w:rPr>
        <w:t>Mohamed Miled (Université de Carthage, Tunisie),</w:t>
      </w:r>
    </w:p>
    <w:p w:rsidR="004A11D1" w:rsidRPr="004A11D1" w:rsidRDefault="004A11D1" w:rsidP="004A11D1">
      <w:pPr>
        <w:pStyle w:val="Paragraphedeliste"/>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666666"/>
          <w:sz w:val="27"/>
          <w:szCs w:val="27"/>
          <w:lang w:eastAsia="fr-FR"/>
        </w:rPr>
      </w:pPr>
      <w:r w:rsidRPr="004A11D1">
        <w:rPr>
          <w:rFonts w:ascii="Times New Roman" w:eastAsia="Times New Roman" w:hAnsi="Times New Roman" w:cs="Times New Roman"/>
          <w:color w:val="666666"/>
          <w:sz w:val="27"/>
          <w:szCs w:val="27"/>
          <w:lang w:eastAsia="fr-FR"/>
        </w:rPr>
        <w:t>Jean-Paul Narcy-Combes (Université de Paris 3, France),</w:t>
      </w:r>
    </w:p>
    <w:p w:rsidR="004A11D1" w:rsidRPr="004A11D1" w:rsidRDefault="004A11D1" w:rsidP="004A11D1">
      <w:pPr>
        <w:pStyle w:val="Paragraphedeliste"/>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666666"/>
          <w:sz w:val="27"/>
          <w:szCs w:val="27"/>
          <w:lang w:eastAsia="fr-FR"/>
        </w:rPr>
      </w:pPr>
      <w:r w:rsidRPr="004A11D1">
        <w:rPr>
          <w:rFonts w:ascii="Times New Roman" w:eastAsia="Times New Roman" w:hAnsi="Times New Roman" w:cs="Times New Roman"/>
          <w:color w:val="666666"/>
          <w:sz w:val="27"/>
          <w:szCs w:val="27"/>
          <w:lang w:eastAsia="fr-FR"/>
        </w:rPr>
        <w:t>Marie-Françoise Narcy-Combes (Université de Nantes, France),</w:t>
      </w:r>
    </w:p>
    <w:p w:rsidR="004A11D1" w:rsidRPr="004A11D1" w:rsidRDefault="004A11D1" w:rsidP="004A11D1">
      <w:pPr>
        <w:pStyle w:val="Paragraphedeliste"/>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666666"/>
          <w:sz w:val="27"/>
          <w:szCs w:val="27"/>
          <w:lang w:eastAsia="fr-FR"/>
        </w:rPr>
      </w:pPr>
      <w:r w:rsidRPr="004A11D1">
        <w:rPr>
          <w:rFonts w:ascii="Times New Roman" w:eastAsia="Times New Roman" w:hAnsi="Times New Roman" w:cs="Times New Roman"/>
          <w:color w:val="666666"/>
          <w:sz w:val="27"/>
          <w:szCs w:val="27"/>
          <w:lang w:eastAsia="fr-FR"/>
        </w:rPr>
        <w:t>Saeed Paivandi (Université de Lorraine, France),</w:t>
      </w:r>
    </w:p>
    <w:p w:rsidR="004A11D1" w:rsidRPr="004A11D1" w:rsidRDefault="004A11D1" w:rsidP="004A11D1">
      <w:pPr>
        <w:pStyle w:val="Paragraphedeliste"/>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666666"/>
          <w:sz w:val="27"/>
          <w:szCs w:val="27"/>
          <w:lang w:eastAsia="fr-FR"/>
        </w:rPr>
      </w:pPr>
      <w:r w:rsidRPr="004A11D1">
        <w:rPr>
          <w:rFonts w:ascii="Times New Roman" w:eastAsia="Times New Roman" w:hAnsi="Times New Roman" w:cs="Times New Roman"/>
          <w:color w:val="666666"/>
          <w:sz w:val="27"/>
          <w:szCs w:val="27"/>
          <w:lang w:eastAsia="fr-FR"/>
        </w:rPr>
        <w:t>Marc Trestini (Université de Strasbourg, France),</w:t>
      </w:r>
    </w:p>
    <w:p w:rsidR="004A11D1" w:rsidRPr="004A11D1" w:rsidRDefault="004A11D1" w:rsidP="004A11D1">
      <w:pPr>
        <w:pStyle w:val="Paragraphedeliste"/>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666666"/>
          <w:sz w:val="27"/>
          <w:szCs w:val="27"/>
          <w:lang w:eastAsia="fr-FR"/>
        </w:rPr>
      </w:pPr>
      <w:r w:rsidRPr="004A11D1">
        <w:rPr>
          <w:rFonts w:ascii="Times New Roman" w:eastAsia="Times New Roman" w:hAnsi="Times New Roman" w:cs="Times New Roman"/>
          <w:color w:val="666666"/>
          <w:sz w:val="27"/>
          <w:szCs w:val="27"/>
          <w:lang w:eastAsia="fr-FR"/>
        </w:rPr>
        <w:t>Marc Weisser (Université Haute Alsace, France).</w:t>
      </w:r>
    </w:p>
    <w:p w:rsidR="004A11D1" w:rsidRPr="004A11D1" w:rsidRDefault="004A11D1" w:rsidP="004A11D1">
      <w:pPr>
        <w:shd w:val="clear" w:color="auto" w:fill="FFFFFF"/>
        <w:spacing w:before="100" w:beforeAutospacing="1" w:after="100" w:afterAutospacing="1" w:line="240" w:lineRule="auto"/>
        <w:rPr>
          <w:rFonts w:ascii="Times New Roman" w:eastAsia="Times New Roman" w:hAnsi="Times New Roman" w:cs="Times New Roman"/>
          <w:color w:val="666666"/>
          <w:sz w:val="27"/>
          <w:szCs w:val="27"/>
          <w:lang w:eastAsia="fr-FR"/>
        </w:rPr>
      </w:pPr>
      <w:r w:rsidRPr="004A11D1">
        <w:rPr>
          <w:rFonts w:ascii="Arial" w:eastAsia="Times New Roman" w:hAnsi="Arial" w:cs="Arial"/>
          <w:b/>
          <w:bCs/>
          <w:color w:val="333333"/>
          <w:sz w:val="48"/>
          <w:szCs w:val="48"/>
          <w:lang w:eastAsia="fr-FR"/>
        </w:rPr>
        <w:t>Coordinateurs du colloque</w:t>
      </w:r>
    </w:p>
    <w:p w:rsidR="004A11D1" w:rsidRPr="004A11D1" w:rsidRDefault="004A11D1" w:rsidP="004A11D1">
      <w:pPr>
        <w:pStyle w:val="Paragraphedeliste"/>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666666"/>
          <w:sz w:val="27"/>
          <w:szCs w:val="27"/>
          <w:lang w:eastAsia="fr-FR"/>
        </w:rPr>
      </w:pPr>
      <w:r w:rsidRPr="004A11D1">
        <w:rPr>
          <w:rFonts w:ascii="Times New Roman" w:eastAsia="Times New Roman" w:hAnsi="Times New Roman" w:cs="Times New Roman"/>
          <w:color w:val="666666"/>
          <w:sz w:val="27"/>
          <w:szCs w:val="27"/>
          <w:lang w:eastAsia="fr-FR"/>
        </w:rPr>
        <w:t>Jacqueline Bacha,</w:t>
      </w:r>
    </w:p>
    <w:p w:rsidR="004A11D1" w:rsidRPr="004A11D1" w:rsidRDefault="004A11D1" w:rsidP="004A11D1">
      <w:pPr>
        <w:pStyle w:val="Paragraphedeliste"/>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666666"/>
          <w:sz w:val="27"/>
          <w:szCs w:val="27"/>
          <w:lang w:eastAsia="fr-FR"/>
        </w:rPr>
      </w:pPr>
      <w:r w:rsidRPr="004A11D1">
        <w:rPr>
          <w:rFonts w:ascii="Times New Roman" w:eastAsia="Times New Roman" w:hAnsi="Times New Roman" w:cs="Times New Roman"/>
          <w:color w:val="666666"/>
          <w:sz w:val="27"/>
          <w:szCs w:val="27"/>
          <w:lang w:eastAsia="fr-FR"/>
        </w:rPr>
        <w:t>Sandoss Ben Abid Zarrouk,</w:t>
      </w:r>
    </w:p>
    <w:p w:rsidR="004A11D1" w:rsidRPr="004A11D1" w:rsidRDefault="004A11D1" w:rsidP="004A11D1">
      <w:pPr>
        <w:pStyle w:val="Paragraphedeliste"/>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666666"/>
          <w:sz w:val="27"/>
          <w:szCs w:val="27"/>
          <w:lang w:eastAsia="fr-FR"/>
        </w:rPr>
      </w:pPr>
      <w:r w:rsidRPr="004A11D1">
        <w:rPr>
          <w:rFonts w:ascii="Times New Roman" w:eastAsia="Times New Roman" w:hAnsi="Times New Roman" w:cs="Times New Roman"/>
          <w:color w:val="666666"/>
          <w:sz w:val="27"/>
          <w:szCs w:val="27"/>
          <w:lang w:eastAsia="fr-FR"/>
        </w:rPr>
        <w:t>Latifa Kadi-Ksouri,</w:t>
      </w:r>
    </w:p>
    <w:p w:rsidR="004A11D1" w:rsidRDefault="004A11D1" w:rsidP="004A11D1">
      <w:pPr>
        <w:pStyle w:val="Paragraphedeliste"/>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666666"/>
          <w:sz w:val="27"/>
          <w:szCs w:val="27"/>
          <w:lang w:eastAsia="fr-FR"/>
        </w:rPr>
      </w:pPr>
      <w:r w:rsidRPr="004A11D1">
        <w:rPr>
          <w:rFonts w:ascii="Times New Roman" w:eastAsia="Times New Roman" w:hAnsi="Times New Roman" w:cs="Times New Roman"/>
          <w:color w:val="666666"/>
          <w:sz w:val="27"/>
          <w:szCs w:val="27"/>
          <w:lang w:eastAsia="fr-FR"/>
        </w:rPr>
        <w:t>Abdelouahad Mabrour.</w:t>
      </w:r>
    </w:p>
    <w:p w:rsidR="004A11D1" w:rsidRDefault="004A11D1" w:rsidP="004A11D1">
      <w:pPr>
        <w:pStyle w:val="Paragraphedeliste"/>
        <w:shd w:val="clear" w:color="auto" w:fill="FFFFFF"/>
        <w:spacing w:before="100" w:beforeAutospacing="1" w:after="100" w:afterAutospacing="1" w:line="240" w:lineRule="auto"/>
        <w:rPr>
          <w:rFonts w:ascii="Times New Roman" w:eastAsia="Times New Roman" w:hAnsi="Times New Roman" w:cs="Times New Roman"/>
          <w:color w:val="666666"/>
          <w:sz w:val="27"/>
          <w:szCs w:val="27"/>
          <w:lang w:eastAsia="fr-FR"/>
        </w:rPr>
      </w:pPr>
    </w:p>
    <w:p w:rsidR="004A11D1" w:rsidRPr="004A11D1" w:rsidRDefault="004A11D1" w:rsidP="004A11D1">
      <w:pPr>
        <w:shd w:val="clear" w:color="auto" w:fill="FFFFFF"/>
        <w:spacing w:before="100" w:beforeAutospacing="1" w:after="100" w:afterAutospacing="1" w:line="240" w:lineRule="auto"/>
        <w:rPr>
          <w:rFonts w:ascii="Times New Roman" w:eastAsia="Times New Roman" w:hAnsi="Times New Roman" w:cs="Times New Roman"/>
          <w:color w:val="666666"/>
          <w:sz w:val="27"/>
          <w:szCs w:val="27"/>
          <w:lang w:eastAsia="fr-FR"/>
        </w:rPr>
      </w:pPr>
      <w:r w:rsidRPr="004A11D1">
        <w:rPr>
          <w:rFonts w:ascii="Arial" w:eastAsia="Times New Roman" w:hAnsi="Arial" w:cs="Arial"/>
          <w:b/>
          <w:bCs/>
          <w:color w:val="333333"/>
          <w:sz w:val="48"/>
          <w:szCs w:val="48"/>
          <w:lang w:eastAsia="fr-FR"/>
        </w:rPr>
        <w:t>Comité de suivi du colloque </w:t>
      </w:r>
    </w:p>
    <w:p w:rsidR="004A11D1" w:rsidRPr="004A11D1" w:rsidRDefault="004A11D1" w:rsidP="004A11D1">
      <w:pPr>
        <w:pStyle w:val="Paragraphedeliste"/>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666666"/>
          <w:sz w:val="27"/>
          <w:szCs w:val="27"/>
          <w:lang w:eastAsia="fr-FR"/>
        </w:rPr>
      </w:pPr>
      <w:r w:rsidRPr="004A11D1">
        <w:rPr>
          <w:rFonts w:ascii="Times New Roman" w:eastAsia="Times New Roman" w:hAnsi="Times New Roman" w:cs="Times New Roman"/>
          <w:color w:val="666666"/>
          <w:sz w:val="27"/>
          <w:szCs w:val="27"/>
          <w:lang w:eastAsia="fr-FR"/>
        </w:rPr>
        <w:t>Mohammed Mastafi,</w:t>
      </w:r>
    </w:p>
    <w:p w:rsidR="004A11D1" w:rsidRDefault="004A11D1" w:rsidP="004A11D1">
      <w:pPr>
        <w:pStyle w:val="Paragraphedeliste"/>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666666"/>
          <w:sz w:val="27"/>
          <w:szCs w:val="27"/>
          <w:lang w:eastAsia="fr-FR"/>
        </w:rPr>
      </w:pPr>
      <w:r w:rsidRPr="004A11D1">
        <w:rPr>
          <w:rFonts w:ascii="Times New Roman" w:eastAsia="Times New Roman" w:hAnsi="Times New Roman" w:cs="Times New Roman"/>
          <w:color w:val="666666"/>
          <w:sz w:val="27"/>
          <w:szCs w:val="27"/>
          <w:lang w:val="en-US" w:eastAsia="fr-FR"/>
        </w:rPr>
        <w:t>Fella Benabed</w:t>
      </w:r>
      <w:r w:rsidRPr="004A11D1">
        <w:rPr>
          <w:rFonts w:ascii="Times New Roman" w:eastAsia="Times New Roman" w:hAnsi="Times New Roman" w:cs="Times New Roman"/>
          <w:color w:val="666666"/>
          <w:sz w:val="27"/>
          <w:szCs w:val="27"/>
          <w:lang w:eastAsia="fr-FR"/>
        </w:rPr>
        <w:t>.</w:t>
      </w:r>
    </w:p>
    <w:p w:rsidR="004A11D1" w:rsidRDefault="004A11D1" w:rsidP="004A11D1">
      <w:pPr>
        <w:pStyle w:val="Paragraphedeliste"/>
        <w:shd w:val="clear" w:color="auto" w:fill="FFFFFF"/>
        <w:spacing w:before="100" w:beforeAutospacing="1" w:after="100" w:afterAutospacing="1" w:line="240" w:lineRule="auto"/>
        <w:rPr>
          <w:rFonts w:ascii="Arial" w:eastAsia="Times New Roman" w:hAnsi="Arial" w:cs="Arial"/>
          <w:b/>
          <w:bCs/>
          <w:color w:val="333333"/>
          <w:sz w:val="48"/>
          <w:szCs w:val="48"/>
          <w:lang w:eastAsia="fr-FR"/>
        </w:rPr>
      </w:pPr>
    </w:p>
    <w:p w:rsidR="004A11D1" w:rsidRPr="004A11D1" w:rsidRDefault="004A11D1" w:rsidP="004A11D1">
      <w:pPr>
        <w:shd w:val="clear" w:color="auto" w:fill="FFFFFF"/>
        <w:spacing w:before="100" w:beforeAutospacing="1" w:after="100" w:afterAutospacing="1" w:line="240" w:lineRule="auto"/>
        <w:rPr>
          <w:rFonts w:ascii="Times New Roman" w:eastAsia="Times New Roman" w:hAnsi="Times New Roman" w:cs="Times New Roman"/>
          <w:color w:val="666666"/>
          <w:sz w:val="27"/>
          <w:szCs w:val="27"/>
          <w:lang w:eastAsia="fr-FR"/>
        </w:rPr>
      </w:pPr>
      <w:r w:rsidRPr="004A11D1">
        <w:rPr>
          <w:rFonts w:ascii="Arial" w:eastAsia="Times New Roman" w:hAnsi="Arial" w:cs="Arial"/>
          <w:b/>
          <w:bCs/>
          <w:color w:val="333333"/>
          <w:sz w:val="48"/>
          <w:szCs w:val="48"/>
          <w:lang w:eastAsia="fr-FR"/>
        </w:rPr>
        <w:t>Comité d’organisation</w:t>
      </w:r>
      <w:r w:rsidRPr="004A11D1">
        <w:rPr>
          <w:rFonts w:ascii="Arial" w:eastAsia="Times New Roman" w:hAnsi="Arial" w:cs="Arial"/>
          <w:color w:val="333333"/>
          <w:sz w:val="48"/>
          <w:szCs w:val="48"/>
          <w:lang w:eastAsia="fr-FR"/>
        </w:rPr>
        <w:t> </w:t>
      </w:r>
    </w:p>
    <w:p w:rsidR="004A11D1" w:rsidRPr="004A11D1" w:rsidRDefault="004A11D1" w:rsidP="004A11D1">
      <w:pPr>
        <w:pStyle w:val="Paragraphedeliste"/>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666666"/>
          <w:sz w:val="27"/>
          <w:szCs w:val="27"/>
          <w:lang w:eastAsia="fr-FR"/>
        </w:rPr>
      </w:pPr>
      <w:r w:rsidRPr="004A11D1">
        <w:rPr>
          <w:rFonts w:ascii="Times New Roman" w:eastAsia="Times New Roman" w:hAnsi="Times New Roman" w:cs="Times New Roman"/>
          <w:color w:val="666666"/>
          <w:sz w:val="27"/>
          <w:szCs w:val="27"/>
          <w:lang w:val="en-US" w:eastAsia="fr-FR"/>
        </w:rPr>
        <w:t>Ala Eddine Bakhouch,</w:t>
      </w:r>
    </w:p>
    <w:p w:rsidR="004A11D1" w:rsidRPr="004A11D1" w:rsidRDefault="004A11D1" w:rsidP="004A11D1">
      <w:pPr>
        <w:pStyle w:val="Paragraphedeliste"/>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666666"/>
          <w:sz w:val="27"/>
          <w:szCs w:val="27"/>
          <w:lang w:eastAsia="fr-FR"/>
        </w:rPr>
      </w:pPr>
      <w:r w:rsidRPr="004A11D1">
        <w:rPr>
          <w:rFonts w:ascii="Times New Roman" w:eastAsia="Times New Roman" w:hAnsi="Times New Roman" w:cs="Times New Roman"/>
          <w:color w:val="666666"/>
          <w:sz w:val="27"/>
          <w:szCs w:val="27"/>
          <w:lang w:val="en-US" w:eastAsia="fr-FR"/>
        </w:rPr>
        <w:t>Hasna Barakate,</w:t>
      </w:r>
    </w:p>
    <w:p w:rsidR="004A11D1" w:rsidRPr="004A11D1" w:rsidRDefault="004A11D1" w:rsidP="004A11D1">
      <w:pPr>
        <w:pStyle w:val="Paragraphedeliste"/>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666666"/>
          <w:sz w:val="27"/>
          <w:szCs w:val="27"/>
          <w:lang w:eastAsia="fr-FR"/>
        </w:rPr>
      </w:pPr>
      <w:r w:rsidRPr="004A11D1">
        <w:rPr>
          <w:rFonts w:ascii="Times New Roman" w:eastAsia="Times New Roman" w:hAnsi="Times New Roman" w:cs="Times New Roman"/>
          <w:color w:val="666666"/>
          <w:sz w:val="27"/>
          <w:szCs w:val="27"/>
          <w:lang w:val="en-US" w:eastAsia="fr-FR"/>
        </w:rPr>
        <w:t>Fella Benabed,</w:t>
      </w:r>
    </w:p>
    <w:p w:rsidR="004A11D1" w:rsidRPr="004A11D1" w:rsidRDefault="004A11D1" w:rsidP="004A11D1">
      <w:pPr>
        <w:pStyle w:val="Paragraphedeliste"/>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666666"/>
          <w:sz w:val="27"/>
          <w:szCs w:val="27"/>
          <w:lang w:eastAsia="fr-FR"/>
        </w:rPr>
      </w:pPr>
      <w:r w:rsidRPr="004A11D1">
        <w:rPr>
          <w:rFonts w:ascii="Times New Roman" w:eastAsia="Times New Roman" w:hAnsi="Times New Roman" w:cs="Times New Roman"/>
          <w:color w:val="666666"/>
          <w:sz w:val="27"/>
          <w:szCs w:val="27"/>
          <w:lang w:val="en-US" w:eastAsia="fr-FR"/>
        </w:rPr>
        <w:t>Houda Bouhlou,</w:t>
      </w:r>
    </w:p>
    <w:p w:rsidR="004A11D1" w:rsidRPr="004A11D1" w:rsidRDefault="004A11D1" w:rsidP="004A11D1">
      <w:pPr>
        <w:pStyle w:val="Paragraphedeliste"/>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666666"/>
          <w:sz w:val="27"/>
          <w:szCs w:val="27"/>
          <w:lang w:eastAsia="fr-FR"/>
        </w:rPr>
      </w:pPr>
      <w:r w:rsidRPr="004A11D1">
        <w:rPr>
          <w:rFonts w:ascii="Times New Roman" w:eastAsia="Times New Roman" w:hAnsi="Times New Roman" w:cs="Times New Roman"/>
          <w:color w:val="666666"/>
          <w:sz w:val="27"/>
          <w:szCs w:val="27"/>
          <w:lang w:val="en-US" w:eastAsia="fr-FR"/>
        </w:rPr>
        <w:t>Lasaad Kalai,</w:t>
      </w:r>
    </w:p>
    <w:p w:rsidR="004A11D1" w:rsidRPr="004A11D1" w:rsidRDefault="004A11D1" w:rsidP="004A11D1">
      <w:pPr>
        <w:pStyle w:val="Paragraphedeliste"/>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666666"/>
          <w:sz w:val="27"/>
          <w:szCs w:val="27"/>
          <w:lang w:eastAsia="fr-FR"/>
        </w:rPr>
      </w:pPr>
      <w:r w:rsidRPr="004A11D1">
        <w:rPr>
          <w:rFonts w:ascii="Times New Roman" w:eastAsia="Times New Roman" w:hAnsi="Times New Roman" w:cs="Times New Roman"/>
          <w:color w:val="666666"/>
          <w:sz w:val="27"/>
          <w:szCs w:val="27"/>
          <w:lang w:val="en-US" w:eastAsia="fr-FR"/>
        </w:rPr>
        <w:t>Billel Ouhaïbia.</w:t>
      </w:r>
    </w:p>
    <w:p w:rsidR="004A11D1" w:rsidRPr="004A11D1" w:rsidRDefault="004A11D1" w:rsidP="004A11D1">
      <w:pPr>
        <w:shd w:val="clear" w:color="auto" w:fill="FFFFFF"/>
        <w:spacing w:before="100" w:beforeAutospacing="1" w:after="100" w:afterAutospacing="1" w:line="240" w:lineRule="auto"/>
        <w:rPr>
          <w:rFonts w:ascii="Times New Roman" w:eastAsia="Times New Roman" w:hAnsi="Times New Roman" w:cs="Times New Roman"/>
          <w:color w:val="666666"/>
          <w:sz w:val="27"/>
          <w:szCs w:val="27"/>
          <w:lang w:eastAsia="fr-FR"/>
        </w:rPr>
      </w:pPr>
      <w:r w:rsidRPr="004A11D1">
        <w:rPr>
          <w:rFonts w:ascii="Arial" w:eastAsia="Times New Roman" w:hAnsi="Arial" w:cs="Arial"/>
          <w:b/>
          <w:bCs/>
          <w:color w:val="333333"/>
          <w:sz w:val="48"/>
          <w:szCs w:val="48"/>
          <w:lang w:eastAsia="fr-FR"/>
        </w:rPr>
        <w:t>Calendrier</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510"/>
        <w:gridCol w:w="6562"/>
      </w:tblGrid>
      <w:tr w:rsidR="004A11D1" w:rsidRPr="004A11D1" w:rsidTr="004A11D1">
        <w:trPr>
          <w:tblCellSpacing w:w="0" w:type="dxa"/>
        </w:trPr>
        <w:tc>
          <w:tcPr>
            <w:tcW w:w="2655" w:type="dxa"/>
            <w:shd w:val="clear" w:color="auto" w:fill="FFFFFF"/>
            <w:hideMark/>
          </w:tcPr>
          <w:p w:rsidR="004A11D1" w:rsidRPr="004A11D1" w:rsidRDefault="004A11D1" w:rsidP="004A11D1">
            <w:pPr>
              <w:spacing w:before="100" w:beforeAutospacing="1" w:after="100" w:afterAutospacing="1" w:line="240" w:lineRule="auto"/>
              <w:rPr>
                <w:rFonts w:ascii="Times New Roman" w:eastAsia="Times New Roman" w:hAnsi="Times New Roman" w:cs="Times New Roman"/>
                <w:color w:val="666666"/>
                <w:sz w:val="27"/>
                <w:szCs w:val="27"/>
                <w:lang w:eastAsia="fr-FR"/>
              </w:rPr>
            </w:pPr>
            <w:r w:rsidRPr="004A11D1">
              <w:rPr>
                <w:rFonts w:ascii="Times New Roman" w:eastAsia="Times New Roman" w:hAnsi="Times New Roman" w:cs="Times New Roman"/>
                <w:b/>
                <w:bCs/>
                <w:color w:val="666666"/>
                <w:sz w:val="27"/>
                <w:szCs w:val="27"/>
                <w:lang w:eastAsia="fr-FR"/>
              </w:rPr>
              <w:t>15 septembre 2016</w:t>
            </w:r>
          </w:p>
        </w:tc>
        <w:tc>
          <w:tcPr>
            <w:tcW w:w="7215" w:type="dxa"/>
            <w:shd w:val="clear" w:color="auto" w:fill="FFFFFF"/>
            <w:hideMark/>
          </w:tcPr>
          <w:p w:rsidR="004A11D1" w:rsidRPr="004A11D1" w:rsidRDefault="004A11D1" w:rsidP="004A11D1">
            <w:pPr>
              <w:spacing w:before="100" w:beforeAutospacing="1" w:after="100" w:afterAutospacing="1" w:line="240" w:lineRule="auto"/>
              <w:jc w:val="both"/>
              <w:rPr>
                <w:rFonts w:ascii="Times New Roman" w:eastAsia="Times New Roman" w:hAnsi="Times New Roman" w:cs="Times New Roman"/>
                <w:color w:val="666666"/>
                <w:sz w:val="27"/>
                <w:szCs w:val="27"/>
                <w:lang w:eastAsia="fr-FR"/>
              </w:rPr>
            </w:pPr>
            <w:r w:rsidRPr="004A11D1">
              <w:rPr>
                <w:rFonts w:ascii="Times New Roman" w:eastAsia="Times New Roman" w:hAnsi="Times New Roman" w:cs="Times New Roman"/>
                <w:color w:val="666666"/>
                <w:sz w:val="27"/>
                <w:szCs w:val="27"/>
                <w:lang w:eastAsia="fr-FR"/>
              </w:rPr>
              <w:t>Date limite de soumission des propositions</w:t>
            </w:r>
          </w:p>
        </w:tc>
      </w:tr>
      <w:tr w:rsidR="004A11D1" w:rsidRPr="004A11D1" w:rsidTr="004A11D1">
        <w:trPr>
          <w:tblCellSpacing w:w="0" w:type="dxa"/>
        </w:trPr>
        <w:tc>
          <w:tcPr>
            <w:tcW w:w="2655" w:type="dxa"/>
            <w:shd w:val="clear" w:color="auto" w:fill="FFFFFF"/>
            <w:hideMark/>
          </w:tcPr>
          <w:p w:rsidR="004A11D1" w:rsidRPr="004A11D1" w:rsidRDefault="004A11D1" w:rsidP="004A11D1">
            <w:pPr>
              <w:spacing w:before="100" w:beforeAutospacing="1" w:after="100" w:afterAutospacing="1" w:line="240" w:lineRule="auto"/>
              <w:rPr>
                <w:rFonts w:ascii="Times New Roman" w:eastAsia="Times New Roman" w:hAnsi="Times New Roman" w:cs="Times New Roman"/>
                <w:color w:val="666666"/>
                <w:sz w:val="27"/>
                <w:szCs w:val="27"/>
                <w:lang w:eastAsia="fr-FR"/>
              </w:rPr>
            </w:pPr>
            <w:r w:rsidRPr="004A11D1">
              <w:rPr>
                <w:rFonts w:ascii="Times New Roman" w:eastAsia="Times New Roman" w:hAnsi="Times New Roman" w:cs="Times New Roman"/>
                <w:b/>
                <w:bCs/>
                <w:color w:val="666666"/>
                <w:sz w:val="27"/>
                <w:szCs w:val="27"/>
                <w:lang w:eastAsia="fr-FR"/>
              </w:rPr>
              <w:t>15 octobre 2016</w:t>
            </w:r>
          </w:p>
        </w:tc>
        <w:tc>
          <w:tcPr>
            <w:tcW w:w="7215" w:type="dxa"/>
            <w:shd w:val="clear" w:color="auto" w:fill="FFFFFF"/>
            <w:hideMark/>
          </w:tcPr>
          <w:p w:rsidR="004A11D1" w:rsidRPr="004A11D1" w:rsidRDefault="004A11D1" w:rsidP="004A11D1">
            <w:pPr>
              <w:spacing w:before="100" w:beforeAutospacing="1" w:after="100" w:afterAutospacing="1" w:line="240" w:lineRule="auto"/>
              <w:jc w:val="both"/>
              <w:rPr>
                <w:rFonts w:ascii="Times New Roman" w:eastAsia="Times New Roman" w:hAnsi="Times New Roman" w:cs="Times New Roman"/>
                <w:color w:val="666666"/>
                <w:sz w:val="27"/>
                <w:szCs w:val="27"/>
                <w:lang w:eastAsia="fr-FR"/>
              </w:rPr>
            </w:pPr>
            <w:r w:rsidRPr="004A11D1">
              <w:rPr>
                <w:rFonts w:ascii="Times New Roman" w:eastAsia="Times New Roman" w:hAnsi="Times New Roman" w:cs="Times New Roman"/>
                <w:color w:val="666666"/>
                <w:sz w:val="27"/>
                <w:szCs w:val="27"/>
                <w:lang w:eastAsia="fr-FR"/>
              </w:rPr>
              <w:t>Réponse aux contributeurs</w:t>
            </w:r>
          </w:p>
        </w:tc>
      </w:tr>
      <w:tr w:rsidR="004A11D1" w:rsidRPr="004A11D1" w:rsidTr="004A11D1">
        <w:trPr>
          <w:tblCellSpacing w:w="0" w:type="dxa"/>
        </w:trPr>
        <w:tc>
          <w:tcPr>
            <w:tcW w:w="2655" w:type="dxa"/>
            <w:shd w:val="clear" w:color="auto" w:fill="FFFFFF"/>
            <w:hideMark/>
          </w:tcPr>
          <w:p w:rsidR="004A11D1" w:rsidRPr="004A11D1" w:rsidRDefault="004A11D1" w:rsidP="004A11D1">
            <w:pPr>
              <w:spacing w:before="100" w:beforeAutospacing="1" w:after="100" w:afterAutospacing="1" w:line="240" w:lineRule="auto"/>
              <w:rPr>
                <w:rFonts w:ascii="Times New Roman" w:eastAsia="Times New Roman" w:hAnsi="Times New Roman" w:cs="Times New Roman"/>
                <w:color w:val="666666"/>
                <w:sz w:val="27"/>
                <w:szCs w:val="27"/>
                <w:lang w:eastAsia="fr-FR"/>
              </w:rPr>
            </w:pPr>
            <w:r w:rsidRPr="004A11D1">
              <w:rPr>
                <w:rFonts w:ascii="Times New Roman" w:eastAsia="Times New Roman" w:hAnsi="Times New Roman" w:cs="Times New Roman"/>
                <w:b/>
                <w:bCs/>
                <w:color w:val="666666"/>
                <w:sz w:val="27"/>
                <w:szCs w:val="27"/>
                <w:lang w:eastAsia="fr-FR"/>
              </w:rPr>
              <w:t>15</w:t>
            </w:r>
            <w:r w:rsidRPr="004A11D1">
              <w:rPr>
                <w:rFonts w:ascii="Times New Roman" w:eastAsia="Times New Roman" w:hAnsi="Times New Roman" w:cs="Times New Roman"/>
                <w:color w:val="666666"/>
                <w:sz w:val="27"/>
                <w:szCs w:val="27"/>
                <w:lang w:eastAsia="fr-FR"/>
              </w:rPr>
              <w:t> </w:t>
            </w:r>
            <w:r w:rsidRPr="004A11D1">
              <w:rPr>
                <w:rFonts w:ascii="Times New Roman" w:eastAsia="Times New Roman" w:hAnsi="Times New Roman" w:cs="Times New Roman"/>
                <w:b/>
                <w:bCs/>
                <w:color w:val="666666"/>
                <w:sz w:val="27"/>
                <w:szCs w:val="27"/>
                <w:lang w:eastAsia="fr-FR"/>
              </w:rPr>
              <w:t>décembre 2016</w:t>
            </w:r>
            <w:r w:rsidRPr="004A11D1">
              <w:rPr>
                <w:rFonts w:ascii="Times New Roman" w:eastAsia="Times New Roman" w:hAnsi="Times New Roman" w:cs="Times New Roman"/>
                <w:color w:val="666666"/>
                <w:sz w:val="27"/>
                <w:szCs w:val="27"/>
                <w:lang w:eastAsia="fr-FR"/>
              </w:rPr>
              <w:t> </w:t>
            </w:r>
          </w:p>
        </w:tc>
        <w:tc>
          <w:tcPr>
            <w:tcW w:w="7215" w:type="dxa"/>
            <w:shd w:val="clear" w:color="auto" w:fill="FFFFFF"/>
            <w:hideMark/>
          </w:tcPr>
          <w:p w:rsidR="004A11D1" w:rsidRPr="004A11D1" w:rsidRDefault="004A11D1" w:rsidP="004A11D1">
            <w:pPr>
              <w:spacing w:before="100" w:beforeAutospacing="1" w:after="100" w:afterAutospacing="1" w:line="240" w:lineRule="auto"/>
              <w:jc w:val="both"/>
              <w:rPr>
                <w:rFonts w:ascii="Times New Roman" w:eastAsia="Times New Roman" w:hAnsi="Times New Roman" w:cs="Times New Roman"/>
                <w:color w:val="666666"/>
                <w:sz w:val="27"/>
                <w:szCs w:val="27"/>
                <w:lang w:eastAsia="fr-FR"/>
              </w:rPr>
            </w:pPr>
            <w:r w:rsidRPr="004A11D1">
              <w:rPr>
                <w:rFonts w:ascii="Times New Roman" w:eastAsia="Times New Roman" w:hAnsi="Times New Roman" w:cs="Times New Roman"/>
                <w:color w:val="666666"/>
                <w:sz w:val="27"/>
                <w:szCs w:val="27"/>
                <w:lang w:eastAsia="fr-FR"/>
              </w:rPr>
              <w:t xml:space="preserve">Date limite d’inscription au colloque et de paiement des frais de participation qui s’élèvent à 150 euros (75 euros pour les doctorants). Ce montant couvre l’hébergement dans un hôtel  4  étoiles, à Tabarka, en pension complète pour 4 nuitées (celles du 16, 17, 18 et 19 avril), la documentation, la publication des actes pour les communications retenues par </w:t>
            </w:r>
            <w:r w:rsidRPr="004A11D1">
              <w:rPr>
                <w:rFonts w:ascii="Times New Roman" w:eastAsia="Times New Roman" w:hAnsi="Times New Roman" w:cs="Times New Roman"/>
                <w:color w:val="666666"/>
                <w:sz w:val="27"/>
                <w:szCs w:val="27"/>
                <w:lang w:eastAsia="fr-FR"/>
              </w:rPr>
              <w:lastRenderedPageBreak/>
              <w:t>le comité scientifique, le transfert de l’aéroport au lieu du colloque pour les participants qui viennent de l’étranger.</w:t>
            </w:r>
          </w:p>
        </w:tc>
      </w:tr>
      <w:tr w:rsidR="004A11D1" w:rsidRPr="004A11D1" w:rsidTr="004A11D1">
        <w:trPr>
          <w:tblCellSpacing w:w="0" w:type="dxa"/>
        </w:trPr>
        <w:tc>
          <w:tcPr>
            <w:tcW w:w="2655" w:type="dxa"/>
            <w:shd w:val="clear" w:color="auto" w:fill="FFFFFF"/>
            <w:hideMark/>
          </w:tcPr>
          <w:p w:rsidR="004A11D1" w:rsidRPr="004A11D1" w:rsidRDefault="004A11D1" w:rsidP="004A11D1">
            <w:pPr>
              <w:spacing w:before="100" w:beforeAutospacing="1" w:after="100" w:afterAutospacing="1" w:line="240" w:lineRule="auto"/>
              <w:rPr>
                <w:rFonts w:ascii="Times New Roman" w:eastAsia="Times New Roman" w:hAnsi="Times New Roman" w:cs="Times New Roman"/>
                <w:color w:val="666666"/>
                <w:sz w:val="27"/>
                <w:szCs w:val="27"/>
                <w:lang w:eastAsia="fr-FR"/>
              </w:rPr>
            </w:pPr>
            <w:r w:rsidRPr="004A11D1">
              <w:rPr>
                <w:rFonts w:ascii="Times New Roman" w:eastAsia="Times New Roman" w:hAnsi="Times New Roman" w:cs="Times New Roman"/>
                <w:b/>
                <w:bCs/>
                <w:color w:val="666666"/>
                <w:sz w:val="27"/>
                <w:szCs w:val="27"/>
                <w:lang w:eastAsia="fr-FR"/>
              </w:rPr>
              <w:lastRenderedPageBreak/>
              <w:t>15 février 2017</w:t>
            </w:r>
            <w:r w:rsidRPr="004A11D1">
              <w:rPr>
                <w:rFonts w:ascii="Times New Roman" w:eastAsia="Times New Roman" w:hAnsi="Times New Roman" w:cs="Times New Roman"/>
                <w:color w:val="666666"/>
                <w:sz w:val="27"/>
                <w:szCs w:val="27"/>
                <w:lang w:eastAsia="fr-FR"/>
              </w:rPr>
              <w:t> </w:t>
            </w:r>
          </w:p>
        </w:tc>
        <w:tc>
          <w:tcPr>
            <w:tcW w:w="7215" w:type="dxa"/>
            <w:shd w:val="clear" w:color="auto" w:fill="FFFFFF"/>
            <w:hideMark/>
          </w:tcPr>
          <w:p w:rsidR="004A11D1" w:rsidRPr="004A11D1" w:rsidRDefault="004A11D1" w:rsidP="004A11D1">
            <w:pPr>
              <w:spacing w:before="100" w:beforeAutospacing="1" w:after="100" w:afterAutospacing="1" w:line="240" w:lineRule="auto"/>
              <w:jc w:val="both"/>
              <w:rPr>
                <w:rFonts w:ascii="Times New Roman" w:eastAsia="Times New Roman" w:hAnsi="Times New Roman" w:cs="Times New Roman"/>
                <w:color w:val="666666"/>
                <w:sz w:val="27"/>
                <w:szCs w:val="27"/>
                <w:lang w:eastAsia="fr-FR"/>
              </w:rPr>
            </w:pPr>
            <w:r w:rsidRPr="004A11D1">
              <w:rPr>
                <w:rFonts w:ascii="Times New Roman" w:eastAsia="Times New Roman" w:hAnsi="Times New Roman" w:cs="Times New Roman"/>
                <w:color w:val="666666"/>
                <w:sz w:val="27"/>
                <w:szCs w:val="27"/>
                <w:lang w:eastAsia="fr-FR"/>
              </w:rPr>
              <w:t>Remise des textes définitifs des communications.</w:t>
            </w:r>
          </w:p>
          <w:p w:rsidR="004A11D1" w:rsidRPr="004A11D1" w:rsidRDefault="004A11D1" w:rsidP="004A11D1">
            <w:pPr>
              <w:spacing w:before="100" w:beforeAutospacing="1" w:after="100" w:afterAutospacing="1" w:line="240" w:lineRule="auto"/>
              <w:rPr>
                <w:rFonts w:ascii="Times New Roman" w:eastAsia="Times New Roman" w:hAnsi="Times New Roman" w:cs="Times New Roman"/>
                <w:color w:val="666666"/>
                <w:sz w:val="27"/>
                <w:szCs w:val="27"/>
                <w:lang w:eastAsia="fr-FR"/>
              </w:rPr>
            </w:pPr>
            <w:r w:rsidRPr="004A11D1">
              <w:rPr>
                <w:rFonts w:ascii="Times New Roman" w:eastAsia="Times New Roman" w:hAnsi="Times New Roman" w:cs="Times New Roman"/>
                <w:color w:val="666666"/>
                <w:sz w:val="27"/>
                <w:szCs w:val="27"/>
                <w:lang w:eastAsia="fr-FR"/>
              </w:rPr>
              <w:t>Les textes sélectionnés, après une double évaluation anonyme du comité scientifique, seront publiés dans les actes du colloque.</w:t>
            </w:r>
          </w:p>
        </w:tc>
      </w:tr>
      <w:tr w:rsidR="004A11D1" w:rsidRPr="004A11D1" w:rsidTr="004A11D1">
        <w:trPr>
          <w:tblCellSpacing w:w="0" w:type="dxa"/>
        </w:trPr>
        <w:tc>
          <w:tcPr>
            <w:tcW w:w="2655" w:type="dxa"/>
            <w:shd w:val="clear" w:color="auto" w:fill="FFFFFF"/>
            <w:hideMark/>
          </w:tcPr>
          <w:p w:rsidR="004A11D1" w:rsidRPr="004A11D1" w:rsidRDefault="004A11D1" w:rsidP="004A11D1">
            <w:pPr>
              <w:spacing w:before="100" w:beforeAutospacing="1" w:after="100" w:afterAutospacing="1" w:line="240" w:lineRule="auto"/>
              <w:rPr>
                <w:rFonts w:ascii="Times New Roman" w:eastAsia="Times New Roman" w:hAnsi="Times New Roman" w:cs="Times New Roman"/>
                <w:color w:val="666666"/>
                <w:sz w:val="27"/>
                <w:szCs w:val="27"/>
                <w:lang w:eastAsia="fr-FR"/>
              </w:rPr>
            </w:pPr>
            <w:r w:rsidRPr="004A11D1">
              <w:rPr>
                <w:rFonts w:ascii="Times New Roman" w:eastAsia="Times New Roman" w:hAnsi="Times New Roman" w:cs="Times New Roman"/>
                <w:b/>
                <w:bCs/>
                <w:color w:val="666666"/>
                <w:sz w:val="27"/>
                <w:szCs w:val="27"/>
                <w:lang w:eastAsia="fr-FR"/>
              </w:rPr>
              <w:t>17 - 19 avril 2017</w:t>
            </w:r>
          </w:p>
          <w:p w:rsidR="004A11D1" w:rsidRPr="004A11D1" w:rsidRDefault="004A11D1" w:rsidP="004A11D1">
            <w:pPr>
              <w:spacing w:before="100" w:beforeAutospacing="1" w:after="100" w:afterAutospacing="1" w:line="240" w:lineRule="auto"/>
              <w:rPr>
                <w:rFonts w:ascii="Times New Roman" w:eastAsia="Times New Roman" w:hAnsi="Times New Roman" w:cs="Times New Roman"/>
                <w:color w:val="666666"/>
                <w:sz w:val="27"/>
                <w:szCs w:val="27"/>
                <w:lang w:eastAsia="fr-FR"/>
              </w:rPr>
            </w:pPr>
            <w:r w:rsidRPr="004A11D1">
              <w:rPr>
                <w:rFonts w:ascii="Times New Roman" w:eastAsia="Times New Roman" w:hAnsi="Times New Roman" w:cs="Times New Roman"/>
                <w:b/>
                <w:bCs/>
                <w:color w:val="666666"/>
                <w:sz w:val="27"/>
                <w:szCs w:val="27"/>
                <w:lang w:eastAsia="fr-FR"/>
              </w:rPr>
              <w:t> </w:t>
            </w:r>
          </w:p>
        </w:tc>
        <w:tc>
          <w:tcPr>
            <w:tcW w:w="7215" w:type="dxa"/>
            <w:shd w:val="clear" w:color="auto" w:fill="FFFFFF"/>
            <w:hideMark/>
          </w:tcPr>
          <w:p w:rsidR="004A11D1" w:rsidRDefault="004A11D1" w:rsidP="004A11D1">
            <w:pPr>
              <w:spacing w:before="100" w:beforeAutospacing="1" w:after="100" w:afterAutospacing="1" w:line="240" w:lineRule="auto"/>
              <w:jc w:val="both"/>
              <w:rPr>
                <w:rFonts w:ascii="Times New Roman" w:eastAsia="Times New Roman" w:hAnsi="Times New Roman" w:cs="Times New Roman"/>
                <w:color w:val="666666"/>
                <w:sz w:val="27"/>
                <w:szCs w:val="27"/>
                <w:lang w:eastAsia="fr-FR"/>
              </w:rPr>
            </w:pPr>
            <w:r w:rsidRPr="004A11D1">
              <w:rPr>
                <w:rFonts w:ascii="Times New Roman" w:eastAsia="Times New Roman" w:hAnsi="Times New Roman" w:cs="Times New Roman"/>
                <w:color w:val="666666"/>
                <w:sz w:val="27"/>
                <w:szCs w:val="27"/>
                <w:lang w:eastAsia="fr-FR"/>
              </w:rPr>
              <w:t>Déroulement du colloque.</w:t>
            </w:r>
          </w:p>
          <w:p w:rsidR="00A011F5" w:rsidRDefault="00A011F5" w:rsidP="004A11D1">
            <w:pPr>
              <w:spacing w:before="100" w:beforeAutospacing="1" w:after="100" w:afterAutospacing="1" w:line="240" w:lineRule="auto"/>
              <w:jc w:val="both"/>
              <w:rPr>
                <w:rFonts w:ascii="Times New Roman" w:eastAsia="Times New Roman" w:hAnsi="Times New Roman" w:cs="Times New Roman"/>
                <w:color w:val="666666"/>
                <w:sz w:val="27"/>
                <w:szCs w:val="27"/>
                <w:lang w:eastAsia="fr-FR"/>
              </w:rPr>
            </w:pPr>
          </w:p>
          <w:p w:rsidR="00A011F5" w:rsidRPr="004A11D1" w:rsidRDefault="00A011F5" w:rsidP="004A11D1">
            <w:pPr>
              <w:spacing w:before="100" w:beforeAutospacing="1" w:after="100" w:afterAutospacing="1" w:line="240" w:lineRule="auto"/>
              <w:jc w:val="both"/>
              <w:rPr>
                <w:rFonts w:ascii="Times New Roman" w:eastAsia="Times New Roman" w:hAnsi="Times New Roman" w:cs="Times New Roman"/>
                <w:color w:val="666666"/>
                <w:sz w:val="27"/>
                <w:szCs w:val="27"/>
                <w:lang w:eastAsia="fr-FR"/>
              </w:rPr>
            </w:pPr>
          </w:p>
        </w:tc>
      </w:tr>
    </w:tbl>
    <w:p w:rsidR="004A11D1" w:rsidRPr="004A11D1" w:rsidRDefault="004A11D1" w:rsidP="004A11D1">
      <w:pPr>
        <w:shd w:val="clear" w:color="auto" w:fill="FFFFFF"/>
        <w:spacing w:before="100" w:beforeAutospacing="1" w:after="100" w:afterAutospacing="1" w:line="240" w:lineRule="auto"/>
        <w:rPr>
          <w:rFonts w:ascii="Times New Roman" w:eastAsia="Times New Roman" w:hAnsi="Times New Roman" w:cs="Times New Roman"/>
          <w:color w:val="666666"/>
          <w:sz w:val="27"/>
          <w:szCs w:val="27"/>
          <w:lang w:eastAsia="fr-FR"/>
        </w:rPr>
      </w:pPr>
      <w:bookmarkStart w:id="0" w:name="_GoBack"/>
      <w:bookmarkEnd w:id="0"/>
    </w:p>
    <w:p w:rsidR="004A11D1" w:rsidRPr="004A11D1" w:rsidRDefault="004A11D1" w:rsidP="004A11D1">
      <w:pPr>
        <w:shd w:val="clear" w:color="auto" w:fill="FFFFFF"/>
        <w:spacing w:before="100" w:beforeAutospacing="1" w:after="100" w:afterAutospacing="1" w:line="240" w:lineRule="auto"/>
        <w:rPr>
          <w:rFonts w:ascii="Times New Roman" w:eastAsia="Times New Roman" w:hAnsi="Times New Roman" w:cs="Times New Roman"/>
          <w:color w:val="666666"/>
          <w:sz w:val="27"/>
          <w:szCs w:val="27"/>
          <w:lang w:eastAsia="fr-FR"/>
        </w:rPr>
      </w:pPr>
    </w:p>
    <w:p w:rsidR="004A11D1" w:rsidRPr="004A11D1" w:rsidRDefault="004A11D1" w:rsidP="004A11D1">
      <w:pPr>
        <w:shd w:val="clear" w:color="auto" w:fill="FFFFFF"/>
        <w:spacing w:before="100" w:beforeAutospacing="1" w:after="100" w:afterAutospacing="1" w:line="240" w:lineRule="auto"/>
        <w:rPr>
          <w:rFonts w:ascii="Times New Roman" w:eastAsia="Times New Roman" w:hAnsi="Times New Roman" w:cs="Times New Roman"/>
          <w:color w:val="666666"/>
          <w:sz w:val="27"/>
          <w:szCs w:val="27"/>
          <w:lang w:eastAsia="fr-FR"/>
        </w:rPr>
      </w:pPr>
    </w:p>
    <w:p w:rsidR="004A11D1" w:rsidRPr="004A11D1" w:rsidRDefault="004A11D1" w:rsidP="004A11D1">
      <w:pPr>
        <w:shd w:val="clear" w:color="auto" w:fill="FFFFFF"/>
        <w:spacing w:before="100" w:beforeAutospacing="1" w:after="100" w:afterAutospacing="1" w:line="240" w:lineRule="auto"/>
        <w:jc w:val="both"/>
        <w:rPr>
          <w:rFonts w:ascii="Times New Roman" w:eastAsia="Times New Roman" w:hAnsi="Times New Roman" w:cs="Times New Roman"/>
          <w:color w:val="666666"/>
          <w:sz w:val="27"/>
          <w:szCs w:val="27"/>
          <w:lang w:eastAsia="fr-FR"/>
        </w:rPr>
      </w:pPr>
    </w:p>
    <w:p w:rsidR="00136088" w:rsidRDefault="00136088"/>
    <w:sectPr w:rsidR="0013608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5E9" w:rsidRDefault="004015E9" w:rsidP="00A011F5">
      <w:pPr>
        <w:spacing w:after="0" w:line="240" w:lineRule="auto"/>
      </w:pPr>
      <w:r>
        <w:separator/>
      </w:r>
    </w:p>
  </w:endnote>
  <w:endnote w:type="continuationSeparator" w:id="0">
    <w:p w:rsidR="004015E9" w:rsidRDefault="004015E9" w:rsidP="00A01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4467497"/>
      <w:docPartObj>
        <w:docPartGallery w:val="Page Numbers (Bottom of Page)"/>
        <w:docPartUnique/>
      </w:docPartObj>
    </w:sdtPr>
    <w:sdtContent>
      <w:p w:rsidR="00A011F5" w:rsidRDefault="00A011F5">
        <w:pPr>
          <w:pStyle w:val="Pieddepage"/>
        </w:pPr>
        <w:r>
          <w:fldChar w:fldCharType="begin"/>
        </w:r>
        <w:r>
          <w:instrText>PAGE   \* MERGEFORMAT</w:instrText>
        </w:r>
        <w:r>
          <w:fldChar w:fldCharType="separate"/>
        </w:r>
        <w:r>
          <w:rPr>
            <w:noProof/>
          </w:rPr>
          <w:t>5</w:t>
        </w:r>
        <w:r>
          <w:fldChar w:fldCharType="end"/>
        </w:r>
      </w:p>
    </w:sdtContent>
  </w:sdt>
  <w:p w:rsidR="00A011F5" w:rsidRDefault="00A011F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5E9" w:rsidRDefault="004015E9" w:rsidP="00A011F5">
      <w:pPr>
        <w:spacing w:after="0" w:line="240" w:lineRule="auto"/>
      </w:pPr>
      <w:r>
        <w:separator/>
      </w:r>
    </w:p>
  </w:footnote>
  <w:footnote w:type="continuationSeparator" w:id="0">
    <w:p w:rsidR="004015E9" w:rsidRDefault="004015E9" w:rsidP="00A01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65A41"/>
    <w:multiLevelType w:val="multilevel"/>
    <w:tmpl w:val="72A6C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491C79"/>
    <w:multiLevelType w:val="multilevel"/>
    <w:tmpl w:val="23B4F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536077"/>
    <w:multiLevelType w:val="multilevel"/>
    <w:tmpl w:val="F4DAF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056C7B"/>
    <w:multiLevelType w:val="multilevel"/>
    <w:tmpl w:val="00E49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1D1"/>
    <w:rsid w:val="00136088"/>
    <w:rsid w:val="004015E9"/>
    <w:rsid w:val="004A11D1"/>
    <w:rsid w:val="00A011F5"/>
    <w:rsid w:val="00F0047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C911E-3D28-4531-8A78-CEB5CACB4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A11D1"/>
    <w:rPr>
      <w:rFonts w:ascii="Times New Roman" w:hAnsi="Times New Roman" w:cs="Times New Roman"/>
      <w:sz w:val="24"/>
      <w:szCs w:val="24"/>
    </w:rPr>
  </w:style>
  <w:style w:type="character" w:styleId="lev">
    <w:name w:val="Strong"/>
    <w:basedOn w:val="Policepardfaut"/>
    <w:uiPriority w:val="22"/>
    <w:qFormat/>
    <w:rsid w:val="004A11D1"/>
    <w:rPr>
      <w:b/>
      <w:bCs/>
    </w:rPr>
  </w:style>
  <w:style w:type="paragraph" w:styleId="Paragraphedeliste">
    <w:name w:val="List Paragraph"/>
    <w:basedOn w:val="Normal"/>
    <w:uiPriority w:val="34"/>
    <w:qFormat/>
    <w:rsid w:val="004A11D1"/>
    <w:pPr>
      <w:ind w:left="720"/>
      <w:contextualSpacing/>
    </w:pPr>
  </w:style>
  <w:style w:type="character" w:customStyle="1" w:styleId="apple-converted-space">
    <w:name w:val="apple-converted-space"/>
    <w:basedOn w:val="Policepardfaut"/>
    <w:rsid w:val="004A11D1"/>
  </w:style>
  <w:style w:type="character" w:styleId="Lienhypertexte">
    <w:name w:val="Hyperlink"/>
    <w:basedOn w:val="Policepardfaut"/>
    <w:uiPriority w:val="99"/>
    <w:unhideWhenUsed/>
    <w:rsid w:val="00A011F5"/>
    <w:rPr>
      <w:color w:val="0563C1" w:themeColor="hyperlink"/>
      <w:u w:val="single"/>
    </w:rPr>
  </w:style>
  <w:style w:type="paragraph" w:styleId="En-tte">
    <w:name w:val="header"/>
    <w:basedOn w:val="Normal"/>
    <w:link w:val="En-tteCar"/>
    <w:uiPriority w:val="99"/>
    <w:unhideWhenUsed/>
    <w:rsid w:val="00A011F5"/>
    <w:pPr>
      <w:tabs>
        <w:tab w:val="center" w:pos="4536"/>
        <w:tab w:val="right" w:pos="9072"/>
      </w:tabs>
      <w:spacing w:after="0" w:line="240" w:lineRule="auto"/>
    </w:pPr>
  </w:style>
  <w:style w:type="character" w:customStyle="1" w:styleId="En-tteCar">
    <w:name w:val="En-tête Car"/>
    <w:basedOn w:val="Policepardfaut"/>
    <w:link w:val="En-tte"/>
    <w:uiPriority w:val="99"/>
    <w:rsid w:val="00A011F5"/>
  </w:style>
  <w:style w:type="paragraph" w:styleId="Pieddepage">
    <w:name w:val="footer"/>
    <w:basedOn w:val="Normal"/>
    <w:link w:val="PieddepageCar"/>
    <w:uiPriority w:val="99"/>
    <w:unhideWhenUsed/>
    <w:rsid w:val="00A011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1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41635">
      <w:bodyDiv w:val="1"/>
      <w:marLeft w:val="0"/>
      <w:marRight w:val="0"/>
      <w:marTop w:val="0"/>
      <w:marBottom w:val="0"/>
      <w:divBdr>
        <w:top w:val="none" w:sz="0" w:space="0" w:color="auto"/>
        <w:left w:val="none" w:sz="0" w:space="0" w:color="auto"/>
        <w:bottom w:val="none" w:sz="0" w:space="0" w:color="auto"/>
        <w:right w:val="none" w:sz="0" w:space="0" w:color="auto"/>
      </w:divBdr>
    </w:div>
    <w:div w:id="150415553">
      <w:bodyDiv w:val="1"/>
      <w:marLeft w:val="0"/>
      <w:marRight w:val="0"/>
      <w:marTop w:val="0"/>
      <w:marBottom w:val="0"/>
      <w:divBdr>
        <w:top w:val="none" w:sz="0" w:space="0" w:color="auto"/>
        <w:left w:val="none" w:sz="0" w:space="0" w:color="auto"/>
        <w:bottom w:val="none" w:sz="0" w:space="0" w:color="auto"/>
        <w:right w:val="none" w:sz="0" w:space="0" w:color="auto"/>
      </w:divBdr>
    </w:div>
    <w:div w:id="182985225">
      <w:bodyDiv w:val="1"/>
      <w:marLeft w:val="0"/>
      <w:marRight w:val="0"/>
      <w:marTop w:val="0"/>
      <w:marBottom w:val="0"/>
      <w:divBdr>
        <w:top w:val="none" w:sz="0" w:space="0" w:color="auto"/>
        <w:left w:val="none" w:sz="0" w:space="0" w:color="auto"/>
        <w:bottom w:val="none" w:sz="0" w:space="0" w:color="auto"/>
        <w:right w:val="none" w:sz="0" w:space="0" w:color="auto"/>
      </w:divBdr>
    </w:div>
    <w:div w:id="877205774">
      <w:bodyDiv w:val="1"/>
      <w:marLeft w:val="0"/>
      <w:marRight w:val="0"/>
      <w:marTop w:val="0"/>
      <w:marBottom w:val="0"/>
      <w:divBdr>
        <w:top w:val="none" w:sz="0" w:space="0" w:color="auto"/>
        <w:left w:val="none" w:sz="0" w:space="0" w:color="auto"/>
        <w:bottom w:val="none" w:sz="0" w:space="0" w:color="auto"/>
        <w:right w:val="none" w:sz="0" w:space="0" w:color="auto"/>
      </w:divBdr>
    </w:div>
    <w:div w:id="1342125763">
      <w:bodyDiv w:val="1"/>
      <w:marLeft w:val="0"/>
      <w:marRight w:val="0"/>
      <w:marTop w:val="0"/>
      <w:marBottom w:val="0"/>
      <w:divBdr>
        <w:top w:val="none" w:sz="0" w:space="0" w:color="auto"/>
        <w:left w:val="none" w:sz="0" w:space="0" w:color="auto"/>
        <w:bottom w:val="none" w:sz="0" w:space="0" w:color="auto"/>
        <w:right w:val="none" w:sz="0" w:space="0" w:color="auto"/>
      </w:divBdr>
    </w:div>
    <w:div w:id="1921480039">
      <w:bodyDiv w:val="1"/>
      <w:marLeft w:val="0"/>
      <w:marRight w:val="0"/>
      <w:marTop w:val="0"/>
      <w:marBottom w:val="0"/>
      <w:divBdr>
        <w:top w:val="none" w:sz="0" w:space="0" w:color="auto"/>
        <w:left w:val="none" w:sz="0" w:space="0" w:color="auto"/>
        <w:bottom w:val="none" w:sz="0" w:space="0" w:color="auto"/>
        <w:right w:val="none" w:sz="0" w:space="0" w:color="auto"/>
      </w:divBdr>
    </w:div>
    <w:div w:id="208294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1362</Words>
  <Characters>7496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dc:creator>
  <cp:keywords/>
  <dc:description/>
  <cp:lastModifiedBy>Mohammed</cp:lastModifiedBy>
  <cp:revision>1</cp:revision>
  <dcterms:created xsi:type="dcterms:W3CDTF">2016-07-01T02:52:00Z</dcterms:created>
  <dcterms:modified xsi:type="dcterms:W3CDTF">2016-07-01T03:05:00Z</dcterms:modified>
</cp:coreProperties>
</file>