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91" w:rsidRDefault="00530C91" w:rsidP="00F932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  <w:t>Fiche d’inscription</w:t>
      </w:r>
    </w:p>
    <w:p w:rsidR="00D82A5D" w:rsidRDefault="00D82A5D" w:rsidP="00F932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</w:pPr>
    </w:p>
    <w:p w:rsidR="00530C91" w:rsidRPr="00F93216" w:rsidRDefault="00530C91" w:rsidP="00F932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</w:pPr>
      <w:r w:rsidRPr="00F93216"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  <w:t>Discriminations : le sport et l’</w:t>
      </w:r>
      <w:r w:rsidR="00D82A5D"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  <w:t>école en question</w:t>
      </w:r>
    </w:p>
    <w:p w:rsidR="00530C91" w:rsidRDefault="00530C91" w:rsidP="00F932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Colloque pluridisciplinaire organisé par </w:t>
      </w:r>
      <w:r w:rsidR="00C90CC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le VIP&amp;S</w:t>
      </w:r>
      <w:r w:rsidR="003D1F31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(Université Rennes 2)</w:t>
      </w:r>
    </w:p>
    <w:p w:rsidR="00530C91" w:rsidRDefault="00530C91" w:rsidP="00F932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16 et 17 mai 2013 à Rennes (France)</w:t>
      </w:r>
    </w:p>
    <w:p w:rsidR="00F93216" w:rsidRDefault="00F93216" w:rsidP="00F932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530C91" w:rsidRDefault="00530C91" w:rsidP="00F932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30C91">
        <w:rPr>
          <w:rFonts w:ascii="TimesNewRomanPS-BoldMT" w:hAnsi="TimesNewRomanPS-BoldMT" w:cs="TimesNewRomanPS-BoldMT"/>
          <w:b/>
          <w:bCs/>
        </w:rPr>
        <w:t>Université Rennes 2 Haute-Bretagne</w:t>
      </w:r>
    </w:p>
    <w:p w:rsidR="00530C91" w:rsidRPr="00530C91" w:rsidRDefault="00530C91" w:rsidP="00530C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93216" w:rsidRPr="005C607D" w:rsidTr="00F86A59">
        <w:trPr>
          <w:trHeight w:val="385"/>
        </w:trPr>
        <w:tc>
          <w:tcPr>
            <w:tcW w:w="9212" w:type="dxa"/>
            <w:shd w:val="clear" w:color="auto" w:fill="BFBFBF"/>
            <w:vAlign w:val="center"/>
          </w:tcPr>
          <w:p w:rsidR="00F93216" w:rsidRPr="005C607D" w:rsidRDefault="00F93216" w:rsidP="00F8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  <w:r w:rsidRPr="005C607D"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  <w:t>Identification du Participant</w:t>
            </w:r>
          </w:p>
        </w:tc>
      </w:tr>
      <w:tr w:rsidR="00F93216" w:rsidRPr="005C607D" w:rsidTr="005C607D">
        <w:trPr>
          <w:trHeight w:val="389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Nom :.......................................... Prénom :……………………. </w:t>
            </w:r>
          </w:p>
        </w:tc>
      </w:tr>
      <w:tr w:rsidR="00F93216" w:rsidRPr="005C607D" w:rsidTr="005C607D">
        <w:trPr>
          <w:trHeight w:val="423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Profession : …………………………… </w:t>
            </w:r>
          </w:p>
        </w:tc>
      </w:tr>
      <w:tr w:rsidR="00F93216" w:rsidRPr="005C607D" w:rsidTr="005C607D">
        <w:trPr>
          <w:trHeight w:val="415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Institution : ……………………………………………………………………………………….</w:t>
            </w:r>
          </w:p>
        </w:tc>
      </w:tr>
      <w:tr w:rsidR="00F93216" w:rsidRPr="005C607D" w:rsidTr="005C607D">
        <w:trPr>
          <w:trHeight w:val="407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Adresse : …………………………………………………………………………………………………</w:t>
            </w:r>
          </w:p>
        </w:tc>
      </w:tr>
      <w:tr w:rsidR="00F93216" w:rsidRPr="005C607D" w:rsidTr="005C607D">
        <w:trPr>
          <w:trHeight w:val="426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Code postal :………………………… Ville :……………………………………….. Pays :……………….….</w:t>
            </w:r>
          </w:p>
        </w:tc>
      </w:tr>
      <w:tr w:rsidR="00F93216" w:rsidRPr="005C607D" w:rsidTr="005C607D">
        <w:trPr>
          <w:trHeight w:val="560"/>
        </w:trPr>
        <w:tc>
          <w:tcPr>
            <w:tcW w:w="9212" w:type="dxa"/>
            <w:shd w:val="clear" w:color="auto" w:fill="BFBFBF"/>
          </w:tcPr>
          <w:p w:rsidR="00F93216" w:rsidRPr="005C607D" w:rsidRDefault="00F86A59" w:rsidP="005C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17365D"/>
                <w:sz w:val="24"/>
                <w:szCs w:val="24"/>
              </w:rPr>
              <w:t>Inscription et r</w:t>
            </w:r>
            <w:r w:rsidR="00F93216" w:rsidRPr="005C607D">
              <w:rPr>
                <w:rFonts w:ascii="TimesNewRomanPS-BoldMT" w:hAnsi="TimesNewRomanPS-BoldMT" w:cs="TimesNewRomanPS-BoldMT"/>
                <w:b/>
                <w:bCs/>
                <w:color w:val="17365D"/>
                <w:sz w:val="24"/>
                <w:szCs w:val="24"/>
              </w:rPr>
              <w:t>estauration</w:t>
            </w:r>
          </w:p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sur les lieux du colloque et/ou à proximité</w:t>
            </w:r>
          </w:p>
        </w:tc>
      </w:tr>
      <w:tr w:rsidR="00F93216" w:rsidRPr="005C607D" w:rsidTr="005C607D">
        <w:trPr>
          <w:trHeight w:val="738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Les repas pourront être pris sur place au restaurant universitaire le midi pour 15 euros. Un dîner sera organisé le soir du 16 Mai dans un restaurant rennais. La </w:t>
            </w:r>
            <w:r w:rsidR="006E0CA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participation au dîner est de 4</w:t>
            </w: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0 euros. Les repas doivent être réservés dès maintenant.</w:t>
            </w:r>
          </w:p>
        </w:tc>
      </w:tr>
      <w:tr w:rsidR="003D1F31" w:rsidRPr="005C607D" w:rsidTr="003D1F31">
        <w:trPr>
          <w:trHeight w:val="359"/>
        </w:trPr>
        <w:tc>
          <w:tcPr>
            <w:tcW w:w="9212" w:type="dxa"/>
            <w:vAlign w:val="center"/>
          </w:tcPr>
          <w:p w:rsidR="003D1F31" w:rsidRPr="005C607D" w:rsidRDefault="00F86A59" w:rsidP="00F86A59">
            <w:pPr>
              <w:tabs>
                <w:tab w:val="left" w:pos="426"/>
                <w:tab w:val="left" w:pos="795"/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Droits d‘i</w:t>
            </w:r>
            <w:r w:rsidR="003D1F3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nscription 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                             </w:t>
            </w:r>
            <w:r w:rsidR="003D1F3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="003D1F31"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(5</w:t>
            </w:r>
            <w:r w:rsidR="003D1F31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0</w:t>
            </w:r>
            <w:r w:rsidR="003D1F31"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euros</w:t>
            </w:r>
            <w:r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–</w:t>
            </w:r>
            <w:r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gratuit pour les </w:t>
            </w:r>
            <w:r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é</w:t>
            </w:r>
            <w:r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tudiants)</w:t>
            </w:r>
          </w:p>
        </w:tc>
      </w:tr>
      <w:tr w:rsidR="00F93216" w:rsidRPr="005C607D" w:rsidTr="005C607D"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Déjeuner</w:t>
            </w:r>
            <w:r w:rsidR="003D1F3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du jeudi 16 mai 2013            </w:t>
            </w: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</w:t>
            </w: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sym w:font="Wingdings" w:char="F071"/>
            </w:r>
            <w:r w:rsidR="00F86A59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(15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euros)</w:t>
            </w:r>
          </w:p>
        </w:tc>
      </w:tr>
      <w:tr w:rsidR="00F93216" w:rsidRPr="005C607D" w:rsidTr="000D3942">
        <w:trPr>
          <w:trHeight w:val="312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</w:pPr>
            <w:r w:rsidRPr="005C607D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 xml:space="preserve">Dîner du jeudi 16 mai                        </w:t>
            </w:r>
            <w:r w:rsidR="003D1F31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 xml:space="preserve"> </w:t>
            </w:r>
            <w:r w:rsidRPr="005C607D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 xml:space="preserve">    </w:t>
            </w: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sym w:font="Wingdings" w:char="F071"/>
            </w:r>
            <w:r w:rsidR="000D3942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 xml:space="preserve"> (40</w:t>
            </w:r>
            <w:r w:rsidRPr="005C607D">
              <w:rPr>
                <w:rFonts w:ascii="TimesNewRomanPS-BoldItalicMT" w:hAnsi="TimesNewRomanPS-BoldItalicMT" w:cs="TimesNewRomanPS-BoldItalicMT"/>
                <w:bCs/>
                <w:iCs/>
                <w:sz w:val="20"/>
                <w:szCs w:val="20"/>
              </w:rPr>
              <w:t xml:space="preserve"> euros)                    </w:t>
            </w:r>
          </w:p>
        </w:tc>
      </w:tr>
      <w:tr w:rsidR="00F93216" w:rsidRPr="005C607D" w:rsidTr="005C607D"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Déjeuner du vendredi 17 mai 2013       </w:t>
            </w:r>
            <w:r w:rsidR="003D1F3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sym w:font="Wingdings" w:char="F071"/>
            </w:r>
            <w:r w:rsidR="00F86A59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(15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euros)</w:t>
            </w:r>
          </w:p>
        </w:tc>
      </w:tr>
      <w:tr w:rsidR="00F93216" w:rsidRPr="005C607D" w:rsidTr="005C607D"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Montant 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à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 r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é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 xml:space="preserve">gler       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………………</w:t>
            </w:r>
            <w:r w:rsidRPr="005C607D">
              <w:rPr>
                <w:rFonts w:ascii="Wingdings-Regular" w:eastAsia="Wingdings-Regular" w:hAnsi="TimesNewRomanPS-BoldMT" w:cs="Wingdings-Regular"/>
                <w:color w:val="000000"/>
                <w:sz w:val="21"/>
                <w:szCs w:val="21"/>
              </w:rPr>
              <w:t>..</w:t>
            </w:r>
          </w:p>
        </w:tc>
      </w:tr>
      <w:tr w:rsidR="00F93216" w:rsidRPr="005C607D" w:rsidTr="005C607D">
        <w:trPr>
          <w:trHeight w:val="515"/>
        </w:trPr>
        <w:tc>
          <w:tcPr>
            <w:tcW w:w="9212" w:type="dxa"/>
            <w:shd w:val="clear" w:color="auto" w:fill="BFBFBF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17365D"/>
                <w:sz w:val="24"/>
                <w:szCs w:val="24"/>
              </w:rPr>
            </w:pPr>
            <w:r w:rsidRPr="005C607D">
              <w:rPr>
                <w:rFonts w:ascii="TimesNewRomanPS-BoldMT" w:hAnsi="TimesNewRomanPS-BoldMT" w:cs="TimesNewRomanPS-BoldMT"/>
                <w:b/>
                <w:bCs/>
                <w:color w:val="17365D"/>
                <w:sz w:val="24"/>
                <w:szCs w:val="24"/>
              </w:rPr>
              <w:t>Hébergement</w:t>
            </w:r>
          </w:p>
        </w:tc>
      </w:tr>
      <w:tr w:rsidR="00F93216" w:rsidRPr="005C607D" w:rsidTr="005C607D">
        <w:trPr>
          <w:trHeight w:val="1116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Les organisateurs ne se chargent pas de l’hébergement. Vous trouverez sur le site (</w:t>
            </w:r>
            <w:hyperlink r:id="rId5" w:tgtFrame="_blank" w:history="1">
              <w:r w:rsidRPr="005C607D">
                <w:rPr>
                  <w:rStyle w:val="Lienhypertexte"/>
                </w:rPr>
                <w:t>http://colloquedse.free.fr</w:t>
              </w:r>
            </w:hyperlink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) un lien correspondant à tous les hôtels de Rennes, avec des plans de situation. Rennes est desservi par un métro et un réseau de bus qui quadrillent la ville. L</w:t>
            </w:r>
            <w:r w:rsidR="00C90CCC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</w:t>
            </w: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station de métro et de bus correspondant au lieu de la conférence est : « </w:t>
            </w:r>
            <w:proofErr w:type="spellStart"/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Villejean</w:t>
            </w:r>
            <w:proofErr w:type="spellEnd"/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Université ».</w:t>
            </w:r>
          </w:p>
        </w:tc>
      </w:tr>
      <w:tr w:rsidR="00F93216" w:rsidRPr="005C607D" w:rsidTr="005C607D">
        <w:trPr>
          <w:trHeight w:val="425"/>
        </w:trPr>
        <w:tc>
          <w:tcPr>
            <w:tcW w:w="9212" w:type="dxa"/>
            <w:shd w:val="clear" w:color="auto" w:fill="BFBFBF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17365D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b/>
                <w:color w:val="17365D"/>
                <w:sz w:val="24"/>
                <w:szCs w:val="24"/>
              </w:rPr>
              <w:t>Règlement :</w:t>
            </w:r>
          </w:p>
        </w:tc>
      </w:tr>
      <w:tr w:rsidR="00F93216" w:rsidRPr="005C607D" w:rsidTr="005C607D">
        <w:trPr>
          <w:trHeight w:val="416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Organisme payeur :……………………………………………………………………………………………</w:t>
            </w:r>
          </w:p>
        </w:tc>
      </w:tr>
      <w:tr w:rsidR="00F93216" w:rsidRPr="005C607D" w:rsidTr="005C607D">
        <w:trPr>
          <w:trHeight w:val="409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Adresse :………………………………………………………………………………………………………</w:t>
            </w:r>
          </w:p>
        </w:tc>
      </w:tr>
      <w:tr w:rsidR="00F93216" w:rsidRPr="005C607D" w:rsidTr="005C607D">
        <w:trPr>
          <w:trHeight w:val="415"/>
        </w:trPr>
        <w:tc>
          <w:tcPr>
            <w:tcW w:w="9212" w:type="dxa"/>
            <w:vAlign w:val="center"/>
          </w:tcPr>
          <w:p w:rsidR="00F93216" w:rsidRPr="005C607D" w:rsidRDefault="00F93216" w:rsidP="005C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Code postal :………………………. Ville :…………………………………… Pays :…………..…….</w:t>
            </w:r>
          </w:p>
        </w:tc>
      </w:tr>
      <w:tr w:rsidR="003D1F31" w:rsidRPr="003D1F31" w:rsidTr="003D1F31">
        <w:trPr>
          <w:trHeight w:val="1547"/>
        </w:trPr>
        <w:tc>
          <w:tcPr>
            <w:tcW w:w="9212" w:type="dxa"/>
          </w:tcPr>
          <w:p w:rsidR="003D1F31" w:rsidRPr="005C607D" w:rsidRDefault="003D1F31" w:rsidP="005C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u w:val="single"/>
              </w:rPr>
            </w:pPr>
          </w:p>
          <w:p w:rsidR="003D1F31" w:rsidRPr="005C607D" w:rsidRDefault="003D1F31" w:rsidP="005C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u w:val="single"/>
              </w:rPr>
            </w:pPr>
            <w:r w:rsidRPr="005C607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u w:val="single"/>
              </w:rPr>
              <w:t>Chèque</w:t>
            </w:r>
          </w:p>
          <w:p w:rsidR="003D1F31" w:rsidRPr="005C607D" w:rsidRDefault="003D1F31" w:rsidP="003D1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  <w:p w:rsidR="003D1F31" w:rsidRPr="003D1F31" w:rsidRDefault="003D1F31" w:rsidP="003D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5C607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Libellé à l’ordre de l’Agent comptable de l’Université Rennes 2</w:t>
            </w:r>
          </w:p>
        </w:tc>
      </w:tr>
      <w:tr w:rsidR="00D82A5D" w:rsidRPr="005C607D" w:rsidTr="003D1F31">
        <w:trPr>
          <w:trHeight w:val="1257"/>
        </w:trPr>
        <w:tc>
          <w:tcPr>
            <w:tcW w:w="9212" w:type="dxa"/>
            <w:vAlign w:val="center"/>
          </w:tcPr>
          <w:p w:rsidR="00D82A5D" w:rsidRPr="005C607D" w:rsidRDefault="00D82A5D" w:rsidP="003D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5C607D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Fiche à retourner de préférence avant le 1</w:t>
            </w:r>
            <w:r w:rsidR="003D1F31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 w:rsidRPr="005C607D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Mars 2013 à :</w:t>
            </w:r>
          </w:p>
          <w:p w:rsidR="00D82A5D" w:rsidRPr="005C607D" w:rsidRDefault="00D82A5D" w:rsidP="003D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5C607D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M. François Le Yondre</w:t>
            </w:r>
          </w:p>
          <w:p w:rsidR="00D82A5D" w:rsidRPr="005C607D" w:rsidRDefault="00D82A5D" w:rsidP="003D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5C607D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Université Rennes 2 – UFR APS. Avenue Charles </w:t>
            </w:r>
            <w:proofErr w:type="spellStart"/>
            <w:r w:rsidRPr="005C607D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Tillon</w:t>
            </w:r>
            <w:proofErr w:type="spellEnd"/>
            <w:r w:rsidRPr="005C607D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Bureau 214.</w:t>
            </w:r>
          </w:p>
          <w:p w:rsidR="00D82A5D" w:rsidRPr="005C607D" w:rsidRDefault="00D82A5D" w:rsidP="003D1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5C607D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35000 Rennes – France</w:t>
            </w:r>
          </w:p>
        </w:tc>
      </w:tr>
    </w:tbl>
    <w:p w:rsidR="0013312C" w:rsidRDefault="0013312C" w:rsidP="00F93216"/>
    <w:sectPr w:rsidR="0013312C" w:rsidSect="00F932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F1E2D83-C862-411D-9395-0D9DD9C0D38B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subsetted="1" w:fontKey="{AF21313E-EF7B-4D11-BDD8-D70958C5C578}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08"/>
  <w:hyphenationZone w:val="425"/>
  <w:characterSpacingControl w:val="doNotCompress"/>
  <w:compat/>
  <w:rsids>
    <w:rsidRoot w:val="00530C91"/>
    <w:rsid w:val="000D3942"/>
    <w:rsid w:val="0013312C"/>
    <w:rsid w:val="001F3DC0"/>
    <w:rsid w:val="002446BD"/>
    <w:rsid w:val="003A61AA"/>
    <w:rsid w:val="003D1F31"/>
    <w:rsid w:val="00415ECB"/>
    <w:rsid w:val="00530C91"/>
    <w:rsid w:val="005C607D"/>
    <w:rsid w:val="006E0CAB"/>
    <w:rsid w:val="007241D6"/>
    <w:rsid w:val="008D08F0"/>
    <w:rsid w:val="009D789C"/>
    <w:rsid w:val="00C90CCC"/>
    <w:rsid w:val="00D82A5D"/>
    <w:rsid w:val="00F765F4"/>
    <w:rsid w:val="00F86A59"/>
    <w:rsid w:val="00F93216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2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D78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8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D08F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0C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lloquedse.free.fr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DCD0-F28A-464D-B1CE-E6D8559C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1702</Characters>
  <Application>Microsoft Office Word</Application>
  <DocSecurity>0</DocSecurity>
  <Lines>25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http://colloquedse.free.fr/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2012-11-08T15:00:00Z</dcterms:created>
  <dcterms:modified xsi:type="dcterms:W3CDTF">2012-11-09T09:40:00Z</dcterms:modified>
</cp:coreProperties>
</file>