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25" w:rsidRDefault="00396B64">
      <w:pPr>
        <w:jc w:val="center"/>
        <w:rPr>
          <w:rFonts w:eastAsia="Garamond"/>
          <w:b/>
          <w:bCs/>
          <w:sz w:val="28"/>
          <w:szCs w:val="28"/>
        </w:rPr>
      </w:pPr>
      <w:r>
        <w:rPr>
          <w:b/>
          <w:bCs/>
          <w:i/>
          <w:sz w:val="28"/>
          <w:szCs w:val="28"/>
        </w:rPr>
        <w:t>Les</w:t>
      </w:r>
      <w:r>
        <w:rPr>
          <w:rFonts w:eastAsia="Garamond"/>
          <w:b/>
          <w:bCs/>
          <w:i/>
          <w:sz w:val="28"/>
          <w:szCs w:val="28"/>
        </w:rPr>
        <w:t xml:space="preserve"> </w:t>
      </w:r>
      <w:r>
        <w:rPr>
          <w:b/>
          <w:bCs/>
          <w:i/>
          <w:sz w:val="28"/>
          <w:szCs w:val="28"/>
        </w:rPr>
        <w:t>enjeux</w:t>
      </w:r>
      <w:r>
        <w:rPr>
          <w:rFonts w:eastAsia="Garamond"/>
          <w:b/>
          <w:bCs/>
          <w:i/>
          <w:sz w:val="28"/>
          <w:szCs w:val="28"/>
        </w:rPr>
        <w:t xml:space="preserve"> </w:t>
      </w:r>
      <w:r>
        <w:rPr>
          <w:b/>
          <w:bCs/>
          <w:i/>
          <w:sz w:val="28"/>
          <w:szCs w:val="28"/>
        </w:rPr>
        <w:t>économiques,</w:t>
      </w:r>
      <w:r>
        <w:rPr>
          <w:rFonts w:eastAsia="Garamond"/>
          <w:b/>
          <w:bCs/>
          <w:i/>
          <w:sz w:val="28"/>
          <w:szCs w:val="28"/>
        </w:rPr>
        <w:t xml:space="preserve"> </w:t>
      </w:r>
      <w:r>
        <w:rPr>
          <w:b/>
          <w:bCs/>
          <w:i/>
          <w:sz w:val="28"/>
          <w:szCs w:val="28"/>
        </w:rPr>
        <w:t>sociaux</w:t>
      </w:r>
      <w:r>
        <w:rPr>
          <w:rFonts w:eastAsia="Garamond"/>
          <w:b/>
          <w:bCs/>
          <w:i/>
          <w:sz w:val="28"/>
          <w:szCs w:val="28"/>
        </w:rPr>
        <w:t xml:space="preserve"> </w:t>
      </w:r>
      <w:r>
        <w:rPr>
          <w:b/>
          <w:bCs/>
          <w:i/>
          <w:sz w:val="28"/>
          <w:szCs w:val="28"/>
        </w:rPr>
        <w:t>et</w:t>
      </w:r>
      <w:r>
        <w:rPr>
          <w:rFonts w:eastAsia="Garamond"/>
          <w:b/>
          <w:bCs/>
          <w:i/>
          <w:sz w:val="28"/>
          <w:szCs w:val="28"/>
        </w:rPr>
        <w:t xml:space="preserve"> </w:t>
      </w:r>
      <w:r>
        <w:rPr>
          <w:b/>
          <w:bCs/>
          <w:i/>
          <w:sz w:val="28"/>
          <w:szCs w:val="28"/>
        </w:rPr>
        <w:t>politiques</w:t>
      </w:r>
      <w:r>
        <w:rPr>
          <w:rFonts w:eastAsia="Garamond"/>
          <w:b/>
          <w:bCs/>
          <w:i/>
          <w:sz w:val="28"/>
          <w:szCs w:val="28"/>
        </w:rPr>
        <w:t xml:space="preserve"> </w:t>
      </w:r>
      <w:r>
        <w:rPr>
          <w:b/>
          <w:bCs/>
          <w:i/>
          <w:sz w:val="28"/>
          <w:szCs w:val="28"/>
        </w:rPr>
        <w:t>du</w:t>
      </w:r>
      <w:r>
        <w:rPr>
          <w:rFonts w:eastAsia="Garamond"/>
          <w:b/>
          <w:bCs/>
          <w:sz w:val="28"/>
          <w:szCs w:val="28"/>
        </w:rPr>
        <w:t xml:space="preserve"> </w:t>
      </w:r>
      <w:r>
        <w:rPr>
          <w:b/>
          <w:bCs/>
          <w:i/>
          <w:sz w:val="28"/>
          <w:szCs w:val="28"/>
        </w:rPr>
        <w:t>vieillissement</w:t>
      </w:r>
      <w:r>
        <w:rPr>
          <w:rFonts w:eastAsia="Garamond"/>
          <w:b/>
          <w:bCs/>
          <w:sz w:val="28"/>
          <w:szCs w:val="28"/>
        </w:rPr>
        <w:t xml:space="preserve"> </w:t>
      </w:r>
    </w:p>
    <w:p w:rsidR="008A4025" w:rsidRDefault="00396B64">
      <w:pPr>
        <w:jc w:val="center"/>
        <w:rPr>
          <w:b/>
          <w:bCs/>
        </w:rPr>
      </w:pPr>
      <w:r>
        <w:rPr>
          <w:b/>
          <w:bCs/>
        </w:rPr>
        <w:t>Colloque organisé par le CLERSE du 22 au 24 novembre 2012</w:t>
      </w:r>
    </w:p>
    <w:p w:rsidR="008A4025" w:rsidRDefault="00EC3551">
      <w:pPr>
        <w:jc w:val="center"/>
        <w:rPr>
          <w:b/>
          <w:bCs/>
        </w:rPr>
      </w:pPr>
      <w:r>
        <w:rPr>
          <w:b/>
          <w:bCs/>
        </w:rPr>
        <w:t>Lille, France</w:t>
      </w:r>
    </w:p>
    <w:p w:rsidR="008A4025" w:rsidRDefault="008A4025"/>
    <w:p w:rsidR="008A4025" w:rsidRDefault="00396B64">
      <w:pPr>
        <w:jc w:val="both"/>
      </w:pPr>
      <w:r>
        <w:t>En</w:t>
      </w:r>
      <w:r>
        <w:rPr>
          <w:rFonts w:eastAsia="Garamond"/>
        </w:rPr>
        <w:t xml:space="preserve"> </w:t>
      </w:r>
      <w:r>
        <w:t>France et en Europe,</w:t>
      </w:r>
      <w:r>
        <w:rPr>
          <w:rFonts w:eastAsia="Garamond"/>
        </w:rPr>
        <w:t xml:space="preserve"> </w:t>
      </w:r>
      <w:r>
        <w:t>le</w:t>
      </w:r>
      <w:r>
        <w:rPr>
          <w:rFonts w:eastAsia="Garamond"/>
        </w:rPr>
        <w:t xml:space="preserve"> </w:t>
      </w:r>
      <w:r>
        <w:t>vieillissement</w:t>
      </w:r>
      <w:r>
        <w:rPr>
          <w:rFonts w:eastAsia="Garamond"/>
        </w:rPr>
        <w:t xml:space="preserve"> </w:t>
      </w:r>
      <w:r>
        <w:t>de</w:t>
      </w:r>
      <w:r>
        <w:rPr>
          <w:rFonts w:eastAsia="Garamond"/>
        </w:rPr>
        <w:t xml:space="preserve"> </w:t>
      </w:r>
      <w:r>
        <w:t>la</w:t>
      </w:r>
      <w:r>
        <w:rPr>
          <w:rFonts w:eastAsia="Garamond"/>
        </w:rPr>
        <w:t xml:space="preserve"> </w:t>
      </w:r>
      <w:r>
        <w:t>population</w:t>
      </w:r>
      <w:r>
        <w:rPr>
          <w:rFonts w:eastAsia="Garamond"/>
        </w:rPr>
        <w:t xml:space="preserve"> </w:t>
      </w:r>
      <w:r>
        <w:t>est</w:t>
      </w:r>
      <w:r>
        <w:rPr>
          <w:rFonts w:eastAsia="Garamond"/>
        </w:rPr>
        <w:t xml:space="preserve"> </w:t>
      </w:r>
      <w:r>
        <w:t>une</w:t>
      </w:r>
      <w:r>
        <w:rPr>
          <w:rFonts w:eastAsia="Garamond"/>
        </w:rPr>
        <w:t xml:space="preserve"> </w:t>
      </w:r>
      <w:r>
        <w:t>réalité</w:t>
      </w:r>
      <w:r>
        <w:rPr>
          <w:rStyle w:val="Caractresdenotedebasdepage"/>
          <w:rFonts w:eastAsia="Garamond"/>
        </w:rPr>
        <w:t xml:space="preserve"> </w:t>
      </w:r>
      <w:r>
        <w:t>démographique et sociale.</w:t>
      </w:r>
      <w:r>
        <w:rPr>
          <w:rFonts w:eastAsia="Garamond"/>
        </w:rPr>
        <w:t xml:space="preserve"> </w:t>
      </w:r>
      <w:r>
        <w:t>Le</w:t>
      </w:r>
      <w:r>
        <w:rPr>
          <w:rFonts w:eastAsia="Garamond"/>
        </w:rPr>
        <w:t xml:space="preserve"> </w:t>
      </w:r>
      <w:r>
        <w:t>faible</w:t>
      </w:r>
      <w:r>
        <w:rPr>
          <w:rFonts w:eastAsia="Garamond"/>
        </w:rPr>
        <w:t xml:space="preserve"> </w:t>
      </w:r>
      <w:r>
        <w:t>taux</w:t>
      </w:r>
      <w:r>
        <w:rPr>
          <w:rFonts w:eastAsia="Garamond"/>
        </w:rPr>
        <w:t xml:space="preserve"> </w:t>
      </w:r>
      <w:r>
        <w:t>de</w:t>
      </w:r>
      <w:r>
        <w:rPr>
          <w:rFonts w:eastAsia="Garamond"/>
        </w:rPr>
        <w:t xml:space="preserve"> </w:t>
      </w:r>
      <w:r>
        <w:t>natalité,</w:t>
      </w:r>
      <w:r>
        <w:rPr>
          <w:rFonts w:eastAsia="Garamond"/>
        </w:rPr>
        <w:t xml:space="preserve"> </w:t>
      </w:r>
      <w:r>
        <w:t>couplé</w:t>
      </w:r>
      <w:r>
        <w:rPr>
          <w:rFonts w:eastAsia="Garamond"/>
        </w:rPr>
        <w:t xml:space="preserve"> </w:t>
      </w:r>
      <w:r>
        <w:t>à</w:t>
      </w:r>
      <w:r>
        <w:rPr>
          <w:rFonts w:eastAsia="Garamond"/>
        </w:rPr>
        <w:t xml:space="preserve"> </w:t>
      </w:r>
      <w:r>
        <w:t>une</w:t>
      </w:r>
      <w:r>
        <w:rPr>
          <w:rFonts w:eastAsia="Garamond"/>
        </w:rPr>
        <w:t xml:space="preserve"> </w:t>
      </w:r>
      <w:r>
        <w:t>immigration</w:t>
      </w:r>
      <w:r>
        <w:rPr>
          <w:rFonts w:eastAsia="Garamond"/>
        </w:rPr>
        <w:t xml:space="preserve"> </w:t>
      </w:r>
      <w:r>
        <w:t>fortement</w:t>
      </w:r>
      <w:r>
        <w:rPr>
          <w:rFonts w:eastAsia="Garamond"/>
        </w:rPr>
        <w:t xml:space="preserve"> </w:t>
      </w:r>
      <w:r>
        <w:t>ralentie</w:t>
      </w:r>
      <w:r>
        <w:rPr>
          <w:rFonts w:eastAsia="Garamond"/>
        </w:rPr>
        <w:t xml:space="preserve"> </w:t>
      </w:r>
      <w:r>
        <w:t>et</w:t>
      </w:r>
      <w:r>
        <w:rPr>
          <w:rFonts w:eastAsia="Garamond"/>
        </w:rPr>
        <w:t xml:space="preserve"> </w:t>
      </w:r>
      <w:r>
        <w:t>un</w:t>
      </w:r>
      <w:r>
        <w:rPr>
          <w:rFonts w:eastAsia="Garamond"/>
        </w:rPr>
        <w:t xml:space="preserve"> </w:t>
      </w:r>
      <w:r>
        <w:t>allongement</w:t>
      </w:r>
      <w:r>
        <w:rPr>
          <w:rFonts w:eastAsia="Garamond"/>
        </w:rPr>
        <w:t xml:space="preserve"> </w:t>
      </w:r>
      <w:r>
        <w:t>de</w:t>
      </w:r>
      <w:r>
        <w:rPr>
          <w:rFonts w:eastAsia="Garamond"/>
        </w:rPr>
        <w:t xml:space="preserve"> </w:t>
      </w:r>
      <w:r>
        <w:t>la</w:t>
      </w:r>
      <w:r>
        <w:rPr>
          <w:rFonts w:eastAsia="Garamond"/>
        </w:rPr>
        <w:t xml:space="preserve"> </w:t>
      </w:r>
      <w:r>
        <w:t>durée</w:t>
      </w:r>
      <w:r>
        <w:rPr>
          <w:rFonts w:eastAsia="Garamond"/>
        </w:rPr>
        <w:t xml:space="preserve"> </w:t>
      </w:r>
      <w:r>
        <w:t>de</w:t>
      </w:r>
      <w:r>
        <w:rPr>
          <w:rFonts w:eastAsia="Garamond"/>
        </w:rPr>
        <w:t xml:space="preserve"> </w:t>
      </w:r>
      <w:r>
        <w:t>vie,</w:t>
      </w:r>
      <w:r>
        <w:rPr>
          <w:rFonts w:eastAsia="Garamond"/>
        </w:rPr>
        <w:t xml:space="preserve"> </w:t>
      </w:r>
      <w:r>
        <w:t>engendrent</w:t>
      </w:r>
      <w:r>
        <w:rPr>
          <w:rFonts w:eastAsia="Garamond"/>
        </w:rPr>
        <w:t xml:space="preserve"> </w:t>
      </w:r>
      <w:r>
        <w:t>un</w:t>
      </w:r>
      <w:r>
        <w:rPr>
          <w:rFonts w:eastAsia="Garamond"/>
        </w:rPr>
        <w:t xml:space="preserve"> </w:t>
      </w:r>
      <w:r>
        <w:t>vieillissement</w:t>
      </w:r>
      <w:r>
        <w:rPr>
          <w:rFonts w:eastAsia="Garamond"/>
        </w:rPr>
        <w:t xml:space="preserve"> important </w:t>
      </w:r>
      <w:r>
        <w:t>de</w:t>
      </w:r>
      <w:r>
        <w:rPr>
          <w:rFonts w:eastAsia="Garamond"/>
        </w:rPr>
        <w:t xml:space="preserve"> </w:t>
      </w:r>
      <w:r>
        <w:t>la</w:t>
      </w:r>
      <w:r>
        <w:rPr>
          <w:rFonts w:eastAsia="Garamond"/>
        </w:rPr>
        <w:t xml:space="preserve"> </w:t>
      </w:r>
      <w:r>
        <w:t>population </w:t>
      </w:r>
      <w:r>
        <w:rPr>
          <w:rFonts w:eastAsia="Garamond"/>
        </w:rPr>
        <w:t>: s</w:t>
      </w:r>
      <w:r>
        <w:t>elon</w:t>
      </w:r>
      <w:r>
        <w:rPr>
          <w:rFonts w:eastAsia="Garamond"/>
        </w:rPr>
        <w:t xml:space="preserve"> </w:t>
      </w:r>
      <w:r>
        <w:t>les</w:t>
      </w:r>
      <w:r>
        <w:rPr>
          <w:rFonts w:eastAsia="Garamond"/>
        </w:rPr>
        <w:t xml:space="preserve"> </w:t>
      </w:r>
      <w:r>
        <w:t>projections</w:t>
      </w:r>
      <w:r>
        <w:rPr>
          <w:rFonts w:eastAsia="Garamond"/>
        </w:rPr>
        <w:t xml:space="preserve"> </w:t>
      </w:r>
      <w:r>
        <w:t>de</w:t>
      </w:r>
      <w:r>
        <w:rPr>
          <w:rFonts w:eastAsia="Garamond"/>
        </w:rPr>
        <w:t xml:space="preserve"> </w:t>
      </w:r>
      <w:r>
        <w:t>population</w:t>
      </w:r>
      <w:r>
        <w:rPr>
          <w:rFonts w:eastAsia="Garamond"/>
        </w:rPr>
        <w:t xml:space="preserve"> </w:t>
      </w:r>
      <w:r>
        <w:t>en</w:t>
      </w:r>
      <w:r>
        <w:rPr>
          <w:rFonts w:eastAsia="Garamond"/>
        </w:rPr>
        <w:t xml:space="preserve"> </w:t>
      </w:r>
      <w:r>
        <w:t>2050,</w:t>
      </w:r>
      <w:r>
        <w:rPr>
          <w:rFonts w:eastAsia="Garamond"/>
        </w:rPr>
        <w:t xml:space="preserve"> </w:t>
      </w:r>
      <w:r>
        <w:t>une</w:t>
      </w:r>
      <w:r>
        <w:rPr>
          <w:rFonts w:eastAsia="Garamond"/>
        </w:rPr>
        <w:t xml:space="preserve"> </w:t>
      </w:r>
      <w:r>
        <w:t>personne</w:t>
      </w:r>
      <w:r>
        <w:rPr>
          <w:rFonts w:eastAsia="Garamond"/>
        </w:rPr>
        <w:t xml:space="preserve"> </w:t>
      </w:r>
      <w:r>
        <w:t>sur</w:t>
      </w:r>
      <w:r>
        <w:rPr>
          <w:rFonts w:eastAsia="Garamond"/>
        </w:rPr>
        <w:t xml:space="preserve"> </w:t>
      </w:r>
      <w:r>
        <w:t>3</w:t>
      </w:r>
      <w:r>
        <w:rPr>
          <w:rFonts w:eastAsia="Garamond"/>
        </w:rPr>
        <w:t xml:space="preserve"> </w:t>
      </w:r>
      <w:r>
        <w:t>aura plus de</w:t>
      </w:r>
      <w:r>
        <w:rPr>
          <w:rFonts w:eastAsia="Garamond"/>
        </w:rPr>
        <w:t xml:space="preserve"> </w:t>
      </w:r>
      <w:r>
        <w:t>60</w:t>
      </w:r>
      <w:r>
        <w:rPr>
          <w:rFonts w:eastAsia="Garamond"/>
        </w:rPr>
        <w:t xml:space="preserve"> </w:t>
      </w:r>
      <w:r>
        <w:t>ans. On</w:t>
      </w:r>
      <w:r>
        <w:rPr>
          <w:rFonts w:eastAsia="Garamond"/>
        </w:rPr>
        <w:t xml:space="preserve"> </w:t>
      </w:r>
      <w:r>
        <w:t>peut</w:t>
      </w:r>
      <w:r>
        <w:rPr>
          <w:rFonts w:eastAsia="Garamond"/>
        </w:rPr>
        <w:t xml:space="preserve"> </w:t>
      </w:r>
      <w:r>
        <w:t>penser</w:t>
      </w:r>
      <w:r>
        <w:rPr>
          <w:rFonts w:eastAsia="Garamond"/>
        </w:rPr>
        <w:t xml:space="preserve"> </w:t>
      </w:r>
      <w:r>
        <w:t>que</w:t>
      </w:r>
      <w:r>
        <w:rPr>
          <w:rFonts w:eastAsia="Garamond"/>
        </w:rPr>
        <w:t xml:space="preserve"> </w:t>
      </w:r>
      <w:r>
        <w:t>cette</w:t>
      </w:r>
      <w:r>
        <w:rPr>
          <w:rFonts w:eastAsia="Garamond"/>
        </w:rPr>
        <w:t xml:space="preserve"> </w:t>
      </w:r>
      <w:r>
        <w:t>configuration</w:t>
      </w:r>
      <w:r>
        <w:rPr>
          <w:rFonts w:eastAsia="Garamond"/>
        </w:rPr>
        <w:t xml:space="preserve"> </w:t>
      </w:r>
      <w:r>
        <w:t>générationnelle</w:t>
      </w:r>
      <w:r>
        <w:rPr>
          <w:rFonts w:eastAsia="Garamond"/>
        </w:rPr>
        <w:t xml:space="preserve"> </w:t>
      </w:r>
      <w:r>
        <w:t>fondera</w:t>
      </w:r>
      <w:r>
        <w:rPr>
          <w:rFonts w:eastAsia="Garamond"/>
        </w:rPr>
        <w:t xml:space="preserve"> </w:t>
      </w:r>
      <w:r>
        <w:t>un</w:t>
      </w:r>
      <w:r>
        <w:rPr>
          <w:rFonts w:eastAsia="Garamond"/>
        </w:rPr>
        <w:t xml:space="preserve"> </w:t>
      </w:r>
      <w:r>
        <w:t>nouveau</w:t>
      </w:r>
      <w:r>
        <w:rPr>
          <w:rFonts w:eastAsia="Garamond"/>
        </w:rPr>
        <w:t xml:space="preserve"> </w:t>
      </w:r>
      <w:r>
        <w:t>pacte</w:t>
      </w:r>
      <w:r>
        <w:rPr>
          <w:rFonts w:eastAsia="Garamond"/>
        </w:rPr>
        <w:t xml:space="preserve"> </w:t>
      </w:r>
      <w:r>
        <w:t>social.</w:t>
      </w:r>
      <w:r>
        <w:rPr>
          <w:rFonts w:eastAsia="Garamond"/>
        </w:rPr>
        <w:t xml:space="preserve"> </w:t>
      </w:r>
      <w:r>
        <w:t>Les</w:t>
      </w:r>
      <w:r>
        <w:rPr>
          <w:rFonts w:eastAsia="Garamond"/>
        </w:rPr>
        <w:t xml:space="preserve"> </w:t>
      </w:r>
      <w:r>
        <w:t>transformations</w:t>
      </w:r>
      <w:r>
        <w:rPr>
          <w:rFonts w:eastAsia="Garamond"/>
        </w:rPr>
        <w:t xml:space="preserve"> </w:t>
      </w:r>
      <w:r>
        <w:t>sociales,</w:t>
      </w:r>
      <w:r>
        <w:rPr>
          <w:rFonts w:eastAsia="Garamond"/>
        </w:rPr>
        <w:t xml:space="preserve"> </w:t>
      </w:r>
      <w:r>
        <w:t>économiques</w:t>
      </w:r>
      <w:r>
        <w:rPr>
          <w:rFonts w:eastAsia="Garamond"/>
        </w:rPr>
        <w:t xml:space="preserve"> </w:t>
      </w:r>
      <w:r>
        <w:t>et</w:t>
      </w:r>
      <w:r>
        <w:rPr>
          <w:rFonts w:eastAsia="Garamond"/>
        </w:rPr>
        <w:t xml:space="preserve"> </w:t>
      </w:r>
      <w:r>
        <w:t>politiques</w:t>
      </w:r>
      <w:r>
        <w:rPr>
          <w:rFonts w:eastAsia="Garamond"/>
        </w:rPr>
        <w:t xml:space="preserve"> </w:t>
      </w:r>
      <w:r>
        <w:t>induites</w:t>
      </w:r>
      <w:r>
        <w:rPr>
          <w:rFonts w:eastAsia="Garamond"/>
        </w:rPr>
        <w:t xml:space="preserve"> </w:t>
      </w:r>
      <w:r>
        <w:t>par</w:t>
      </w:r>
      <w:r>
        <w:rPr>
          <w:rFonts w:eastAsia="Garamond"/>
        </w:rPr>
        <w:t xml:space="preserve"> </w:t>
      </w:r>
      <w:r>
        <w:t>le</w:t>
      </w:r>
      <w:r>
        <w:rPr>
          <w:rFonts w:eastAsia="Garamond"/>
        </w:rPr>
        <w:t xml:space="preserve"> </w:t>
      </w:r>
      <w:r>
        <w:t>vieillissement</w:t>
      </w:r>
      <w:r>
        <w:rPr>
          <w:rFonts w:eastAsia="Garamond"/>
        </w:rPr>
        <w:t xml:space="preserve"> </w:t>
      </w:r>
      <w:r>
        <w:t>de</w:t>
      </w:r>
      <w:r>
        <w:rPr>
          <w:rFonts w:eastAsia="Garamond"/>
        </w:rPr>
        <w:t xml:space="preserve"> </w:t>
      </w:r>
      <w:r>
        <w:t>la</w:t>
      </w:r>
      <w:r>
        <w:rPr>
          <w:rFonts w:eastAsia="Garamond"/>
        </w:rPr>
        <w:t xml:space="preserve"> </w:t>
      </w:r>
      <w:r>
        <w:t>population</w:t>
      </w:r>
      <w:r>
        <w:rPr>
          <w:rFonts w:eastAsia="Garamond"/>
        </w:rPr>
        <w:t xml:space="preserve"> </w:t>
      </w:r>
      <w:r>
        <w:t>ouvrent</w:t>
      </w:r>
      <w:r>
        <w:rPr>
          <w:rFonts w:eastAsia="Garamond"/>
        </w:rPr>
        <w:t xml:space="preserve"> </w:t>
      </w:r>
      <w:r>
        <w:t>un</w:t>
      </w:r>
      <w:r>
        <w:rPr>
          <w:rFonts w:eastAsia="Garamond"/>
        </w:rPr>
        <w:t xml:space="preserve"> </w:t>
      </w:r>
      <w:r>
        <w:t>vaste</w:t>
      </w:r>
      <w:r>
        <w:rPr>
          <w:rFonts w:eastAsia="Garamond"/>
        </w:rPr>
        <w:t xml:space="preserve"> </w:t>
      </w:r>
      <w:r>
        <w:t>chantier</w:t>
      </w:r>
      <w:r>
        <w:rPr>
          <w:rFonts w:eastAsia="Garamond"/>
        </w:rPr>
        <w:t xml:space="preserve"> </w:t>
      </w:r>
      <w:r>
        <w:t>de</w:t>
      </w:r>
      <w:r>
        <w:rPr>
          <w:rFonts w:eastAsia="Garamond"/>
        </w:rPr>
        <w:t xml:space="preserve"> </w:t>
      </w:r>
      <w:r>
        <w:t>recherche.</w:t>
      </w:r>
      <w:r>
        <w:rPr>
          <w:rFonts w:eastAsia="Garamond"/>
        </w:rPr>
        <w:t xml:space="preserve"> </w:t>
      </w:r>
      <w:r>
        <w:t>La</w:t>
      </w:r>
      <w:r>
        <w:rPr>
          <w:rFonts w:eastAsia="Garamond"/>
        </w:rPr>
        <w:t xml:space="preserve"> </w:t>
      </w:r>
      <w:r>
        <w:t>question</w:t>
      </w:r>
      <w:r>
        <w:rPr>
          <w:rFonts w:eastAsia="Garamond"/>
        </w:rPr>
        <w:t xml:space="preserve"> </w:t>
      </w:r>
      <w:r>
        <w:t>de</w:t>
      </w:r>
      <w:r>
        <w:rPr>
          <w:rFonts w:eastAsia="Garamond"/>
        </w:rPr>
        <w:t xml:space="preserve"> </w:t>
      </w:r>
      <w:r>
        <w:t>la</w:t>
      </w:r>
      <w:r>
        <w:rPr>
          <w:rFonts w:eastAsia="Garamond"/>
        </w:rPr>
        <w:t xml:space="preserve"> </w:t>
      </w:r>
      <w:r>
        <w:t>dépendance</w:t>
      </w:r>
      <w:r>
        <w:rPr>
          <w:rFonts w:eastAsia="Garamond"/>
        </w:rPr>
        <w:t xml:space="preserve"> </w:t>
      </w:r>
      <w:r>
        <w:t>ou</w:t>
      </w:r>
      <w:r>
        <w:rPr>
          <w:rFonts w:eastAsia="Garamond"/>
        </w:rPr>
        <w:t xml:space="preserve"> </w:t>
      </w:r>
      <w:r>
        <w:t>de</w:t>
      </w:r>
      <w:r>
        <w:rPr>
          <w:rFonts w:eastAsia="Garamond"/>
        </w:rPr>
        <w:t xml:space="preserve"> </w:t>
      </w:r>
      <w:r>
        <w:t>la</w:t>
      </w:r>
      <w:r>
        <w:rPr>
          <w:rFonts w:eastAsia="Garamond"/>
        </w:rPr>
        <w:t xml:space="preserve"> </w:t>
      </w:r>
      <w:r>
        <w:t>vulnérabilité,</w:t>
      </w:r>
      <w:r>
        <w:rPr>
          <w:rFonts w:eastAsia="Garamond"/>
        </w:rPr>
        <w:t xml:space="preserve"> </w:t>
      </w:r>
      <w:r>
        <w:t>de</w:t>
      </w:r>
      <w:r>
        <w:rPr>
          <w:rFonts w:eastAsia="Garamond"/>
        </w:rPr>
        <w:t xml:space="preserve"> </w:t>
      </w:r>
      <w:r>
        <w:t>la</w:t>
      </w:r>
      <w:r>
        <w:rPr>
          <w:rFonts w:eastAsia="Garamond"/>
        </w:rPr>
        <w:t xml:space="preserve"> </w:t>
      </w:r>
      <w:r>
        <w:t>consommation</w:t>
      </w:r>
      <w:r>
        <w:rPr>
          <w:rFonts w:eastAsia="Garamond"/>
        </w:rPr>
        <w:t xml:space="preserve"> </w:t>
      </w:r>
      <w:r>
        <w:t>de</w:t>
      </w:r>
      <w:r>
        <w:rPr>
          <w:rFonts w:eastAsia="Garamond"/>
        </w:rPr>
        <w:t xml:space="preserve"> </w:t>
      </w:r>
      <w:r>
        <w:t>soins</w:t>
      </w:r>
      <w:r>
        <w:rPr>
          <w:rFonts w:eastAsia="Garamond"/>
        </w:rPr>
        <w:t xml:space="preserve"> </w:t>
      </w:r>
      <w:r>
        <w:t>et</w:t>
      </w:r>
      <w:r>
        <w:rPr>
          <w:rFonts w:eastAsia="Garamond"/>
        </w:rPr>
        <w:t xml:space="preserve"> </w:t>
      </w:r>
      <w:r>
        <w:t>de</w:t>
      </w:r>
      <w:r>
        <w:rPr>
          <w:rFonts w:eastAsia="Garamond"/>
        </w:rPr>
        <w:t xml:space="preserve"> </w:t>
      </w:r>
      <w:r>
        <w:t>services</w:t>
      </w:r>
      <w:r>
        <w:rPr>
          <w:rFonts w:eastAsia="Garamond"/>
        </w:rPr>
        <w:t xml:space="preserve">, du vieillissement au travail, </w:t>
      </w:r>
      <w:r w:rsidR="003663BD">
        <w:rPr>
          <w:rFonts w:eastAsia="Garamond"/>
        </w:rPr>
        <w:t xml:space="preserve">de </w:t>
      </w:r>
      <w:r>
        <w:rPr>
          <w:rFonts w:eastAsia="Garamond"/>
        </w:rPr>
        <w:t>l’aménagement urbain et de la citoyenneté des personnes âgées</w:t>
      </w:r>
      <w:r>
        <w:t xml:space="preserve"> sont</w:t>
      </w:r>
      <w:r>
        <w:rPr>
          <w:rFonts w:eastAsia="Garamond"/>
        </w:rPr>
        <w:t xml:space="preserve"> </w:t>
      </w:r>
      <w:r>
        <w:t>des problèmes sociaux et politiques d’actualité</w:t>
      </w:r>
      <w:r>
        <w:rPr>
          <w:rFonts w:eastAsia="Garamond"/>
        </w:rPr>
        <w:t xml:space="preserve"> mais qui </w:t>
      </w:r>
      <w:r>
        <w:t>suscitent</w:t>
      </w:r>
      <w:r>
        <w:rPr>
          <w:rFonts w:eastAsia="Garamond"/>
        </w:rPr>
        <w:t xml:space="preserve"> </w:t>
      </w:r>
      <w:r>
        <w:t>encore peu</w:t>
      </w:r>
      <w:r>
        <w:rPr>
          <w:rFonts w:eastAsia="Garamond"/>
        </w:rPr>
        <w:t xml:space="preserve"> </w:t>
      </w:r>
      <w:r>
        <w:t>de</w:t>
      </w:r>
      <w:r>
        <w:rPr>
          <w:rFonts w:eastAsia="Garamond"/>
        </w:rPr>
        <w:t xml:space="preserve"> </w:t>
      </w:r>
      <w:r>
        <w:t>travaux.</w:t>
      </w:r>
    </w:p>
    <w:p w:rsidR="008A4025" w:rsidRDefault="008A4025">
      <w:pPr>
        <w:jc w:val="both"/>
      </w:pPr>
    </w:p>
    <w:p w:rsidR="008A4025" w:rsidRDefault="00396B64">
      <w:pPr>
        <w:pStyle w:val="Corpsdetexte"/>
        <w:jc w:val="both"/>
      </w:pPr>
      <w:r>
        <w:t>Le</w:t>
      </w:r>
      <w:r>
        <w:rPr>
          <w:rFonts w:eastAsia="Garamond"/>
        </w:rPr>
        <w:t xml:space="preserve"> </w:t>
      </w:r>
      <w:r>
        <w:t>colloque, qui</w:t>
      </w:r>
      <w:r>
        <w:rPr>
          <w:rFonts w:eastAsia="Garamond"/>
        </w:rPr>
        <w:t xml:space="preserve"> s'adresse aux universitaires, aux post-doctorants et aux doctorants mais aussi aux professionnels du domaine, doit </w:t>
      </w:r>
      <w:r>
        <w:t>être</w:t>
      </w:r>
      <w:r>
        <w:rPr>
          <w:rFonts w:eastAsia="Garamond"/>
        </w:rPr>
        <w:t xml:space="preserve"> </w:t>
      </w:r>
      <w:r>
        <w:t>l'occasion</w:t>
      </w:r>
      <w:r>
        <w:rPr>
          <w:rFonts w:eastAsia="Garamond"/>
        </w:rPr>
        <w:t xml:space="preserve"> </w:t>
      </w:r>
      <w:r>
        <w:t>d'une</w:t>
      </w:r>
      <w:r>
        <w:rPr>
          <w:rFonts w:eastAsia="Garamond"/>
        </w:rPr>
        <w:t xml:space="preserve"> </w:t>
      </w:r>
      <w:r>
        <w:t>réflexion</w:t>
      </w:r>
      <w:r>
        <w:rPr>
          <w:rFonts w:eastAsia="Garamond"/>
        </w:rPr>
        <w:t xml:space="preserve"> pluridisciplinaire alliant notamment sociologie, économie et science politique. L'objectif est également d'étudier la question du vieillissement au regard d'autres phénomènes sociaux comme ceux liés à l'aggravation des inégalités sociales dans de nombreux pays occidentaux. En effet, loin d'être neutre, le vieillissement peut avoir des conséquences très différenciées selon, par exemple, le capital économique, social ou culturel des acteurs. Ce colloque vise enfin à mobiliser une </w:t>
      </w:r>
      <w:r>
        <w:t>perspective</w:t>
      </w:r>
      <w:r>
        <w:rPr>
          <w:rFonts w:eastAsia="Garamond"/>
        </w:rPr>
        <w:t xml:space="preserve"> </w:t>
      </w:r>
      <w:r>
        <w:t>comparative internationale</w:t>
      </w:r>
      <w:r>
        <w:rPr>
          <w:rFonts w:eastAsia="Garamond"/>
        </w:rPr>
        <w:t xml:space="preserve"> </w:t>
      </w:r>
      <w:r>
        <w:t>en</w:t>
      </w:r>
      <w:r>
        <w:rPr>
          <w:rFonts w:eastAsia="Garamond"/>
        </w:rPr>
        <w:t xml:space="preserve"> </w:t>
      </w:r>
      <w:r>
        <w:t>prenant</w:t>
      </w:r>
      <w:r>
        <w:rPr>
          <w:rFonts w:eastAsia="Garamond"/>
        </w:rPr>
        <w:t xml:space="preserve"> </w:t>
      </w:r>
      <w:r>
        <w:t>en</w:t>
      </w:r>
      <w:r>
        <w:rPr>
          <w:rFonts w:eastAsia="Garamond"/>
        </w:rPr>
        <w:t xml:space="preserve"> </w:t>
      </w:r>
      <w:r>
        <w:t>compte</w:t>
      </w:r>
      <w:r>
        <w:rPr>
          <w:rFonts w:eastAsia="Garamond"/>
        </w:rPr>
        <w:t xml:space="preserve"> l</w:t>
      </w:r>
      <w:r>
        <w:t xml:space="preserve">es contextes variés et les différentes politiques sociales menées au sein des pays </w:t>
      </w:r>
      <w:r w:rsidR="001A2B9F">
        <w:t>occidentaux</w:t>
      </w:r>
      <w:r>
        <w:t xml:space="preserve">, notamment dans le cadre de la transformation des </w:t>
      </w:r>
      <w:r w:rsidR="001A2B9F">
        <w:t>É</w:t>
      </w:r>
      <w:r>
        <w:t xml:space="preserve">tats-Providence. </w:t>
      </w:r>
    </w:p>
    <w:p w:rsidR="008A4025" w:rsidRDefault="00396B64">
      <w:r>
        <w:t>Cette problématique peut se décliner sous cinq axes principaux.</w:t>
      </w:r>
    </w:p>
    <w:p w:rsidR="008A4025" w:rsidRDefault="008A4025"/>
    <w:p w:rsidR="008A4025" w:rsidRDefault="001A2B9F">
      <w:pPr>
        <w:numPr>
          <w:ilvl w:val="0"/>
          <w:numId w:val="1"/>
        </w:numPr>
        <w:rPr>
          <w:b/>
          <w:bCs/>
        </w:rPr>
      </w:pPr>
      <w:r>
        <w:rPr>
          <w:b/>
          <w:bCs/>
        </w:rPr>
        <w:t>Le vieillissement dans l’UE</w:t>
      </w:r>
    </w:p>
    <w:p w:rsidR="008A4025" w:rsidRDefault="00396B64">
      <w:pPr>
        <w:jc w:val="both"/>
      </w:pPr>
      <w:r>
        <w:t>Le vieillissement est une réalité qui touche l'ensemble des pays européens mais les conséquences de ce phénomène varient sensiblement d'un contexte national à un autre</w:t>
      </w:r>
      <w:r w:rsidR="001A2B9F">
        <w:t xml:space="preserve">. Les enjeux démographiques et </w:t>
      </w:r>
      <w:r>
        <w:t xml:space="preserve">migratoires s'entrecroisent et </w:t>
      </w:r>
      <w:r w:rsidR="001A2B9F">
        <w:t xml:space="preserve">ont des conséquences </w:t>
      </w:r>
      <w:r>
        <w:t xml:space="preserve">assez diverses. Ainsi ce premier axe pourrait être l'occasion de mieux préciser ces questions et surtout de les mettre en perspective avec les politiques publiques menées dans différents pays occidentaux. De même le rôle de l’Union Européenne pourrait être interrogé de manière plus spécifique, notamment dans le cadre de l'année Européenne « vieillissement actif et solidarité intergénérationnelle ». </w:t>
      </w:r>
    </w:p>
    <w:p w:rsidR="008A4025" w:rsidRDefault="008A4025"/>
    <w:p w:rsidR="008A4025" w:rsidRPr="001A2B9F" w:rsidRDefault="00396B64">
      <w:pPr>
        <w:numPr>
          <w:ilvl w:val="0"/>
          <w:numId w:val="1"/>
        </w:numPr>
        <w:rPr>
          <w:b/>
        </w:rPr>
      </w:pPr>
      <w:r w:rsidRPr="001A2B9F">
        <w:rPr>
          <w:b/>
          <w:bCs/>
        </w:rPr>
        <w:t>Santé et vieillissement</w:t>
      </w:r>
    </w:p>
    <w:p w:rsidR="008A4025" w:rsidRDefault="00396B64">
      <w:pPr>
        <w:jc w:val="both"/>
      </w:pPr>
      <w:r>
        <w:t xml:space="preserve">Les politiques de santé tentent de répondre aux nouveaux défis sanitaires posés par le vieillissement de la population et d’anticiper sur les risques en proposant des plans d’action de prévention. Un regard croisé associant l’économie, la sociologie et la science politique permettra une approche globale de ces nouveaux défis. Il s’agirait de prendre en compte d’abord les questions très controversées liées à la croissance des dépenses de santé mais aussi les politiques de prévention notamment à travers leurs enjeux en termes d’inégalités sociales. De même, quelles peuvent être les modalités de prise en charge de la dépendance, tant en termes de financement (fiscalité, développement des </w:t>
      </w:r>
      <w:r w:rsidR="001A2B9F">
        <w:t>assurances, construction d'un 5</w:t>
      </w:r>
      <w:r w:rsidR="001A2B9F" w:rsidRPr="001A2B9F">
        <w:rPr>
          <w:vertAlign w:val="superscript"/>
        </w:rPr>
        <w:t>ème</w:t>
      </w:r>
      <w:r w:rsidR="001A2B9F">
        <w:rPr>
          <w:vertAlign w:val="superscript"/>
        </w:rPr>
        <w:t xml:space="preserve"> </w:t>
      </w:r>
      <w:r>
        <w:t xml:space="preserve">risque) qu'en termes d'organisation ? L'articulation entre les différents modes de prise en charge (hébergement collectif, maintien à domicile, structure mixte, etc.) et la structuration de chacun d'eux pourraient notamment être </w:t>
      </w:r>
      <w:r w:rsidR="001A2B9F">
        <w:t>analysées</w:t>
      </w:r>
      <w:r>
        <w:t>.</w:t>
      </w:r>
    </w:p>
    <w:p w:rsidR="008A4025" w:rsidRDefault="008A4025">
      <w:pPr>
        <w:jc w:val="both"/>
      </w:pPr>
    </w:p>
    <w:p w:rsidR="008A4025" w:rsidRDefault="00396B64">
      <w:pPr>
        <w:numPr>
          <w:ilvl w:val="0"/>
          <w:numId w:val="1"/>
        </w:numPr>
        <w:rPr>
          <w:b/>
          <w:bCs/>
        </w:rPr>
      </w:pPr>
      <w:r>
        <w:rPr>
          <w:b/>
          <w:bCs/>
        </w:rPr>
        <w:t>Viei</w:t>
      </w:r>
      <w:r w:rsidR="001A2B9F">
        <w:rPr>
          <w:b/>
          <w:bCs/>
        </w:rPr>
        <w:t>llissement et monde du travail</w:t>
      </w:r>
    </w:p>
    <w:p w:rsidR="008A4025" w:rsidRDefault="00396B64">
      <w:pPr>
        <w:jc w:val="both"/>
      </w:pPr>
      <w:r>
        <w:t xml:space="preserve">Le vieillissement se répercute également directement sur l’emploi et modifie parfois l'organisation du travail. Quelles en sont les conséquences en matière de conditions de travail et de gestion de la pénibilité ? </w:t>
      </w:r>
      <w:r w:rsidR="001A2B9F">
        <w:t xml:space="preserve">Comment </w:t>
      </w:r>
      <w:r>
        <w:t xml:space="preserve">appréhender les enjeux de formation tout au long de la vie, de transmission des savoirs, de mobilité professionnelle et de reconversion ? Enfin, cette thématique pourrait </w:t>
      </w:r>
      <w:r>
        <w:lastRenderedPageBreak/>
        <w:t xml:space="preserve">permettre d’aborder la question du </w:t>
      </w:r>
      <w:r w:rsidR="009D2807">
        <w:t xml:space="preserve">prolongement de la vie active, </w:t>
      </w:r>
      <w:r>
        <w:t>dans un contexte social français de sortie précoce du marché du travail. Peut-on également évaluer les différentes dispositions</w:t>
      </w:r>
      <w:r w:rsidR="009D2807">
        <w:t>,</w:t>
      </w:r>
      <w:r>
        <w:t xml:space="preserve"> prises cette dernière décennie en Europe</w:t>
      </w:r>
      <w:r w:rsidR="009D2807">
        <w:t>,</w:t>
      </w:r>
      <w:r>
        <w:t xml:space="preserve"> pour encourager la prolongation de la vie active (reconversions professionnelles, temps partie</w:t>
      </w:r>
      <w:r w:rsidR="00467A7D">
        <w:t>ls, situations de cumuls emploi-</w:t>
      </w:r>
      <w:r>
        <w:t>retraite, etc.) alors que le chômage demeure élevé partout en Euro</w:t>
      </w:r>
      <w:r w:rsidR="009D2807">
        <w:t>pe ?</w:t>
      </w:r>
    </w:p>
    <w:p w:rsidR="008A4025" w:rsidRDefault="008A4025"/>
    <w:p w:rsidR="008A4025" w:rsidRDefault="00396B64">
      <w:pPr>
        <w:numPr>
          <w:ilvl w:val="0"/>
          <w:numId w:val="1"/>
        </w:numPr>
        <w:rPr>
          <w:b/>
          <w:bCs/>
        </w:rPr>
      </w:pPr>
      <w:r>
        <w:rPr>
          <w:b/>
          <w:bCs/>
        </w:rPr>
        <w:t>La s</w:t>
      </w:r>
      <w:r w:rsidR="001A2B9F">
        <w:rPr>
          <w:b/>
          <w:bCs/>
        </w:rPr>
        <w:t xml:space="preserve">olidarité </w:t>
      </w:r>
      <w:r w:rsidR="000C067C">
        <w:rPr>
          <w:b/>
          <w:bCs/>
        </w:rPr>
        <w:t>intergénérationnelle</w:t>
      </w:r>
    </w:p>
    <w:p w:rsidR="008A4025" w:rsidRDefault="00396B64">
      <w:pPr>
        <w:jc w:val="both"/>
      </w:pPr>
      <w:r>
        <w:t xml:space="preserve">Le vieillissement modifie </w:t>
      </w:r>
      <w:r w:rsidR="009D2807">
        <w:t>aussi</w:t>
      </w:r>
      <w:r>
        <w:t xml:space="preserve"> l'équilibre entre les générations tant au niveau collectif qu'au niveau familial. La question des transferts monétaires et non monétaires connaît ainsi de nombreuses évolutions. Le financement des retraites est probablement la dimension la plus visible et </w:t>
      </w:r>
      <w:r w:rsidR="009D2807">
        <w:t xml:space="preserve">a été </w:t>
      </w:r>
      <w:r>
        <w:t>étudiée</w:t>
      </w:r>
      <w:r w:rsidR="009D2807">
        <w:t>,</w:t>
      </w:r>
      <w:r>
        <w:t xml:space="preserve"> mais d'autres aspects des échanges entre générations doivent être davantage analysés notamment dans le cadre de la famille ou de territoires spécifiques (au niveau des quartiers, des lieux de vie ou des collectivités territoriales).</w:t>
      </w:r>
    </w:p>
    <w:p w:rsidR="008A4025" w:rsidRDefault="008A4025"/>
    <w:p w:rsidR="008A4025" w:rsidRDefault="00396B64">
      <w:pPr>
        <w:numPr>
          <w:ilvl w:val="0"/>
          <w:numId w:val="1"/>
        </w:numPr>
        <w:rPr>
          <w:b/>
          <w:bCs/>
        </w:rPr>
      </w:pPr>
      <w:r>
        <w:rPr>
          <w:b/>
          <w:bCs/>
        </w:rPr>
        <w:t>Les transform</w:t>
      </w:r>
      <w:r w:rsidR="001A2B9F">
        <w:rPr>
          <w:b/>
          <w:bCs/>
        </w:rPr>
        <w:t>ations sociales et politiques</w:t>
      </w:r>
    </w:p>
    <w:p w:rsidR="008A4025" w:rsidRDefault="00396B64">
      <w:pPr>
        <w:jc w:val="both"/>
      </w:pPr>
      <w:r>
        <w:t xml:space="preserve">Enfin, le vieillissement transforme plus largement le fonctionnement politique et social des sociétés européennes et nord-américaines. Les enjeux électoraux sont nombreux, tout comme ceux concernant les modes d’engagement (associatifs notamment) ou encore les formes de consommation individuelle (émergence de nouveaux marchés ?) et collective (nouveaux services, nouvelles formes d'aménagements urbains). Le statut social de la personne âgée « inactive » pourrait aussi être interrogé dans ce cadre. </w:t>
      </w:r>
    </w:p>
    <w:p w:rsidR="008A4025" w:rsidRDefault="008A4025">
      <w:pPr>
        <w:jc w:val="both"/>
      </w:pPr>
    </w:p>
    <w:p w:rsidR="008A4025" w:rsidRDefault="00396B64">
      <w:pPr>
        <w:jc w:val="center"/>
      </w:pPr>
      <w:r>
        <w:rPr>
          <w:b/>
          <w:bCs/>
        </w:rPr>
        <w:t>Modalités pour répondre à l'appel à communication</w:t>
      </w:r>
    </w:p>
    <w:p w:rsidR="008A4025" w:rsidRDefault="008A4025">
      <w:pPr>
        <w:jc w:val="center"/>
      </w:pPr>
    </w:p>
    <w:p w:rsidR="008A4025" w:rsidRDefault="00396B64">
      <w:pPr>
        <w:jc w:val="both"/>
      </w:pPr>
      <w:r>
        <w:t xml:space="preserve">D'une page maximum, le projet </w:t>
      </w:r>
      <w:r w:rsidR="00872570">
        <w:t xml:space="preserve">en français ou en anglais, </w:t>
      </w:r>
      <w:r>
        <w:t>indiquera les points suivants :</w:t>
      </w:r>
    </w:p>
    <w:p w:rsidR="008A4025" w:rsidRDefault="00396B64">
      <w:pPr>
        <w:numPr>
          <w:ilvl w:val="0"/>
          <w:numId w:val="2"/>
        </w:numPr>
        <w:jc w:val="both"/>
      </w:pPr>
      <w:r>
        <w:t>Identité, coordonnées, discipline et institution d'appartenance de l'auteur.</w:t>
      </w:r>
    </w:p>
    <w:p w:rsidR="008A4025" w:rsidRDefault="00396B64">
      <w:pPr>
        <w:numPr>
          <w:ilvl w:val="0"/>
          <w:numId w:val="2"/>
        </w:numPr>
        <w:jc w:val="both"/>
      </w:pPr>
      <w:r>
        <w:t>Exposé de la problématique.</w:t>
      </w:r>
    </w:p>
    <w:p w:rsidR="008A4025" w:rsidRDefault="00396B64">
      <w:pPr>
        <w:numPr>
          <w:ilvl w:val="0"/>
          <w:numId w:val="2"/>
        </w:numPr>
        <w:jc w:val="both"/>
      </w:pPr>
      <w:r>
        <w:t>Démarche méthodologique, sources et matériaux mobilisés.</w:t>
      </w:r>
    </w:p>
    <w:p w:rsidR="008A4025" w:rsidRDefault="00396B64">
      <w:pPr>
        <w:numPr>
          <w:ilvl w:val="0"/>
          <w:numId w:val="2"/>
        </w:numPr>
        <w:jc w:val="both"/>
      </w:pPr>
      <w:r>
        <w:t xml:space="preserve">Principaux résultats attendus. </w:t>
      </w:r>
    </w:p>
    <w:p w:rsidR="00483F0D" w:rsidRDefault="00483F0D" w:rsidP="00483F0D">
      <w:pPr>
        <w:jc w:val="both"/>
      </w:pPr>
    </w:p>
    <w:p w:rsidR="008A4025" w:rsidRDefault="00483F0D">
      <w:pPr>
        <w:jc w:val="both"/>
      </w:pPr>
      <w:r>
        <w:t xml:space="preserve">Proposition de communication par voie électronique seulement : </w:t>
      </w:r>
      <w:hyperlink r:id="rId5" w:history="1">
        <w:r w:rsidRPr="00483F0D">
          <w:rPr>
            <w:rStyle w:val="Lienhypertexte"/>
          </w:rPr>
          <w:t xml:space="preserve">Soumettre </w:t>
        </w:r>
        <w:bookmarkStart w:id="0" w:name="_GoBack"/>
        <w:bookmarkEnd w:id="0"/>
        <w:r w:rsidRPr="00483F0D">
          <w:rPr>
            <w:rStyle w:val="Lienhypertexte"/>
          </w:rPr>
          <w:t>une contribution</w:t>
        </w:r>
      </w:hyperlink>
    </w:p>
    <w:p w:rsidR="00483F0D" w:rsidRDefault="00483F0D">
      <w:pPr>
        <w:jc w:val="both"/>
      </w:pPr>
    </w:p>
    <w:p w:rsidR="008A4025" w:rsidRDefault="008E3667">
      <w:pPr>
        <w:jc w:val="center"/>
        <w:rPr>
          <w:b/>
          <w:bCs/>
        </w:rPr>
      </w:pPr>
      <w:r>
        <w:rPr>
          <w:b/>
          <w:bCs/>
        </w:rPr>
        <w:t>Calendrier</w:t>
      </w:r>
    </w:p>
    <w:p w:rsidR="008A4025" w:rsidRDefault="008A4025">
      <w:pPr>
        <w:jc w:val="center"/>
        <w:rPr>
          <w:b/>
          <w:bCs/>
        </w:rPr>
      </w:pPr>
    </w:p>
    <w:tbl>
      <w:tblPr>
        <w:tblW w:w="0" w:type="auto"/>
        <w:tblInd w:w="55" w:type="dxa"/>
        <w:tblLayout w:type="fixed"/>
        <w:tblCellMar>
          <w:top w:w="55" w:type="dxa"/>
          <w:left w:w="55" w:type="dxa"/>
          <w:bottom w:w="55" w:type="dxa"/>
          <w:right w:w="55" w:type="dxa"/>
        </w:tblCellMar>
        <w:tblLook w:val="0000"/>
      </w:tblPr>
      <w:tblGrid>
        <w:gridCol w:w="4536"/>
        <w:gridCol w:w="4542"/>
      </w:tblGrid>
      <w:tr w:rsidR="008A4025">
        <w:tc>
          <w:tcPr>
            <w:tcW w:w="4536" w:type="dxa"/>
            <w:tcBorders>
              <w:top w:val="single" w:sz="1" w:space="0" w:color="000000"/>
              <w:left w:val="single" w:sz="1" w:space="0" w:color="000000"/>
              <w:bottom w:val="single" w:sz="1" w:space="0" w:color="000000"/>
            </w:tcBorders>
            <w:shd w:val="clear" w:color="auto" w:fill="auto"/>
          </w:tcPr>
          <w:p w:rsidR="008A4025" w:rsidRDefault="00396B64">
            <w:pPr>
              <w:pStyle w:val="Contenudetableau"/>
              <w:snapToGrid w:val="0"/>
              <w:jc w:val="both"/>
            </w:pPr>
            <w:r>
              <w:t>Soumission des projets de communication</w:t>
            </w:r>
          </w:p>
        </w:tc>
        <w:tc>
          <w:tcPr>
            <w:tcW w:w="4542" w:type="dxa"/>
            <w:tcBorders>
              <w:top w:val="single" w:sz="1" w:space="0" w:color="000000"/>
              <w:left w:val="single" w:sz="1" w:space="0" w:color="000000"/>
              <w:bottom w:val="single" w:sz="1" w:space="0" w:color="000000"/>
              <w:right w:val="single" w:sz="1" w:space="0" w:color="000000"/>
            </w:tcBorders>
            <w:shd w:val="clear" w:color="auto" w:fill="auto"/>
          </w:tcPr>
          <w:p w:rsidR="008A4025" w:rsidRDefault="00396B64" w:rsidP="00305077">
            <w:pPr>
              <w:pStyle w:val="Contenudetableau"/>
              <w:snapToGrid w:val="0"/>
              <w:jc w:val="both"/>
            </w:pPr>
            <w:r>
              <w:t xml:space="preserve">15 </w:t>
            </w:r>
            <w:r w:rsidR="00305077">
              <w:t>mai</w:t>
            </w:r>
            <w:r>
              <w:t xml:space="preserve"> 2012</w:t>
            </w:r>
          </w:p>
        </w:tc>
      </w:tr>
      <w:tr w:rsidR="008A4025">
        <w:tc>
          <w:tcPr>
            <w:tcW w:w="4536" w:type="dxa"/>
            <w:tcBorders>
              <w:left w:val="single" w:sz="1" w:space="0" w:color="000000"/>
              <w:bottom w:val="single" w:sz="1" w:space="0" w:color="000000"/>
            </w:tcBorders>
            <w:shd w:val="clear" w:color="auto" w:fill="auto"/>
          </w:tcPr>
          <w:p w:rsidR="008A4025" w:rsidRDefault="00396B64">
            <w:pPr>
              <w:pStyle w:val="Contenudetableau"/>
              <w:snapToGrid w:val="0"/>
              <w:jc w:val="both"/>
            </w:pPr>
            <w:r>
              <w:t>Réponse du comité scientifique</w:t>
            </w:r>
          </w:p>
        </w:tc>
        <w:tc>
          <w:tcPr>
            <w:tcW w:w="4542" w:type="dxa"/>
            <w:tcBorders>
              <w:left w:val="single" w:sz="1" w:space="0" w:color="000000"/>
              <w:bottom w:val="single" w:sz="1" w:space="0" w:color="000000"/>
              <w:right w:val="single" w:sz="1" w:space="0" w:color="000000"/>
            </w:tcBorders>
            <w:shd w:val="clear" w:color="auto" w:fill="auto"/>
          </w:tcPr>
          <w:p w:rsidR="008A4025" w:rsidRDefault="00717C8F" w:rsidP="00305077">
            <w:pPr>
              <w:pStyle w:val="Contenudetableau"/>
              <w:snapToGrid w:val="0"/>
              <w:jc w:val="both"/>
            </w:pPr>
            <w:r>
              <w:t>1</w:t>
            </w:r>
            <w:r w:rsidR="00396B64">
              <w:t xml:space="preserve"> juin 2012</w:t>
            </w:r>
          </w:p>
        </w:tc>
      </w:tr>
      <w:tr w:rsidR="008A4025">
        <w:tc>
          <w:tcPr>
            <w:tcW w:w="4536" w:type="dxa"/>
            <w:tcBorders>
              <w:left w:val="single" w:sz="1" w:space="0" w:color="000000"/>
              <w:bottom w:val="single" w:sz="1" w:space="0" w:color="000000"/>
            </w:tcBorders>
            <w:shd w:val="clear" w:color="auto" w:fill="auto"/>
          </w:tcPr>
          <w:p w:rsidR="008A4025" w:rsidRDefault="00396B64">
            <w:pPr>
              <w:pStyle w:val="Contenudetableau"/>
              <w:snapToGrid w:val="0"/>
              <w:jc w:val="both"/>
            </w:pPr>
            <w:r>
              <w:t>Envoi des communications définitives</w:t>
            </w:r>
          </w:p>
        </w:tc>
        <w:tc>
          <w:tcPr>
            <w:tcW w:w="4542" w:type="dxa"/>
            <w:tcBorders>
              <w:left w:val="single" w:sz="1" w:space="0" w:color="000000"/>
              <w:bottom w:val="single" w:sz="1" w:space="0" w:color="000000"/>
              <w:right w:val="single" w:sz="1" w:space="0" w:color="000000"/>
            </w:tcBorders>
            <w:shd w:val="clear" w:color="auto" w:fill="auto"/>
          </w:tcPr>
          <w:p w:rsidR="008A4025" w:rsidRDefault="00396B64">
            <w:pPr>
              <w:pStyle w:val="Contenudetableau"/>
              <w:snapToGrid w:val="0"/>
              <w:jc w:val="both"/>
            </w:pPr>
            <w:r>
              <w:t>15 novembre 2012</w:t>
            </w:r>
          </w:p>
        </w:tc>
      </w:tr>
      <w:tr w:rsidR="008A4025">
        <w:tc>
          <w:tcPr>
            <w:tcW w:w="4536" w:type="dxa"/>
            <w:tcBorders>
              <w:left w:val="single" w:sz="1" w:space="0" w:color="000000"/>
              <w:bottom w:val="single" w:sz="1" w:space="0" w:color="000000"/>
            </w:tcBorders>
            <w:shd w:val="clear" w:color="auto" w:fill="auto"/>
          </w:tcPr>
          <w:p w:rsidR="008A4025" w:rsidRDefault="00396B64">
            <w:pPr>
              <w:pStyle w:val="Contenudetableau"/>
              <w:snapToGrid w:val="0"/>
              <w:jc w:val="both"/>
            </w:pPr>
            <w:r>
              <w:t xml:space="preserve">Colloque </w:t>
            </w:r>
          </w:p>
        </w:tc>
        <w:tc>
          <w:tcPr>
            <w:tcW w:w="4542" w:type="dxa"/>
            <w:tcBorders>
              <w:left w:val="single" w:sz="1" w:space="0" w:color="000000"/>
              <w:bottom w:val="single" w:sz="1" w:space="0" w:color="000000"/>
              <w:right w:val="single" w:sz="1" w:space="0" w:color="000000"/>
            </w:tcBorders>
            <w:shd w:val="clear" w:color="auto" w:fill="auto"/>
          </w:tcPr>
          <w:p w:rsidR="008A4025" w:rsidRDefault="00396B64">
            <w:pPr>
              <w:pStyle w:val="Contenudetableau"/>
              <w:snapToGrid w:val="0"/>
              <w:jc w:val="both"/>
            </w:pPr>
            <w:r>
              <w:t>22 – 24 novembre 2012</w:t>
            </w:r>
          </w:p>
        </w:tc>
      </w:tr>
    </w:tbl>
    <w:p w:rsidR="008A4025" w:rsidRDefault="008A4025">
      <w:pPr>
        <w:jc w:val="both"/>
      </w:pPr>
    </w:p>
    <w:p w:rsidR="00396B64" w:rsidRDefault="006E6E24">
      <w:pPr>
        <w:jc w:val="center"/>
        <w:rPr>
          <w:b/>
          <w:bCs/>
        </w:rPr>
      </w:pPr>
      <w:r>
        <w:rPr>
          <w:b/>
          <w:bCs/>
        </w:rPr>
        <w:t>Comité s</w:t>
      </w:r>
      <w:r w:rsidR="00396B64">
        <w:rPr>
          <w:b/>
          <w:bCs/>
        </w:rPr>
        <w:t>cientifique</w:t>
      </w:r>
    </w:p>
    <w:p w:rsidR="009D2807" w:rsidRDefault="009D2807" w:rsidP="009D2807"/>
    <w:p w:rsidR="006E6E24" w:rsidRDefault="006E6E24" w:rsidP="00DF01F9">
      <w:pPr>
        <w:jc w:val="both"/>
        <w:rPr>
          <w:rFonts w:cs="Times New Roman"/>
        </w:rPr>
      </w:pPr>
      <w:r w:rsidRPr="008E3667">
        <w:rPr>
          <w:rFonts w:cs="Times New Roman"/>
        </w:rPr>
        <w:t>Carole Bonnet</w:t>
      </w:r>
      <w:r>
        <w:rPr>
          <w:rFonts w:cs="Times New Roman"/>
        </w:rPr>
        <w:t xml:space="preserve"> (</w:t>
      </w:r>
      <w:proofErr w:type="spellStart"/>
      <w:r>
        <w:rPr>
          <w:rFonts w:cs="Times New Roman"/>
        </w:rPr>
        <w:t>Ined</w:t>
      </w:r>
      <w:proofErr w:type="spellEnd"/>
      <w:r>
        <w:rPr>
          <w:rFonts w:cs="Times New Roman"/>
        </w:rPr>
        <w:t xml:space="preserve">), </w:t>
      </w:r>
      <w:r w:rsidRPr="008E3667">
        <w:rPr>
          <w:rFonts w:cs="Times New Roman"/>
        </w:rPr>
        <w:t xml:space="preserve">Vincent </w:t>
      </w:r>
      <w:proofErr w:type="spellStart"/>
      <w:r w:rsidRPr="008E3667">
        <w:rPr>
          <w:rFonts w:cs="Times New Roman"/>
        </w:rPr>
        <w:t>Caradec</w:t>
      </w:r>
      <w:proofErr w:type="spellEnd"/>
      <w:r w:rsidRPr="008E3667">
        <w:rPr>
          <w:rFonts w:cs="Times New Roman"/>
        </w:rPr>
        <w:t xml:space="preserve"> (Lille 3)</w:t>
      </w:r>
      <w:r>
        <w:rPr>
          <w:rFonts w:cs="Times New Roman"/>
        </w:rPr>
        <w:t xml:space="preserve">, </w:t>
      </w:r>
      <w:r w:rsidRPr="008E3667">
        <w:rPr>
          <w:rFonts w:cs="Times New Roman"/>
        </w:rPr>
        <w:t xml:space="preserve">Pierre </w:t>
      </w:r>
      <w:proofErr w:type="spellStart"/>
      <w:r w:rsidRPr="008E3667">
        <w:rPr>
          <w:rFonts w:cs="Times New Roman"/>
        </w:rPr>
        <w:t>Concialdi</w:t>
      </w:r>
      <w:proofErr w:type="spellEnd"/>
      <w:r w:rsidRPr="008E3667">
        <w:rPr>
          <w:rFonts w:cs="Times New Roman"/>
        </w:rPr>
        <w:t xml:space="preserve"> (Ires)</w:t>
      </w:r>
      <w:r>
        <w:rPr>
          <w:rFonts w:cs="Times New Roman"/>
        </w:rPr>
        <w:t xml:space="preserve">, </w:t>
      </w:r>
      <w:proofErr w:type="spellStart"/>
      <w:r w:rsidRPr="008E3667">
        <w:rPr>
          <w:rFonts w:cs="Times New Roman"/>
        </w:rPr>
        <w:t>Jean-Hugues</w:t>
      </w:r>
      <w:proofErr w:type="spellEnd"/>
      <w:r w:rsidRPr="008E3667">
        <w:rPr>
          <w:rFonts w:cs="Times New Roman"/>
        </w:rPr>
        <w:t xml:space="preserve"> Déchaux (Lyon 2)</w:t>
      </w:r>
      <w:r>
        <w:rPr>
          <w:rFonts w:cs="Times New Roman"/>
        </w:rPr>
        <w:t xml:space="preserve">, </w:t>
      </w:r>
      <w:r w:rsidRPr="008E3667">
        <w:rPr>
          <w:rFonts w:cs="Times New Roman"/>
        </w:rPr>
        <w:t xml:space="preserve">Jean-Claude </w:t>
      </w:r>
      <w:proofErr w:type="spellStart"/>
      <w:r w:rsidRPr="008E3667">
        <w:rPr>
          <w:rFonts w:cs="Times New Roman"/>
        </w:rPr>
        <w:t>Henrard</w:t>
      </w:r>
      <w:proofErr w:type="spellEnd"/>
      <w:r w:rsidRPr="008E3667">
        <w:rPr>
          <w:rFonts w:cs="Times New Roman"/>
        </w:rPr>
        <w:t xml:space="preserve"> (Versailles-Saint-Quentin-en-Yvelines)</w:t>
      </w:r>
      <w:r>
        <w:rPr>
          <w:rFonts w:cs="Times New Roman"/>
        </w:rPr>
        <w:t xml:space="preserve">, </w:t>
      </w:r>
      <w:r w:rsidRPr="008E3667">
        <w:rPr>
          <w:rFonts w:cs="Times New Roman"/>
        </w:rPr>
        <w:t>Geneviève Imbert (</w:t>
      </w:r>
      <w:proofErr w:type="spellStart"/>
      <w:r w:rsidRPr="008E3667">
        <w:rPr>
          <w:rFonts w:cs="Times New Roman"/>
        </w:rPr>
        <w:t>Fng</w:t>
      </w:r>
      <w:proofErr w:type="spellEnd"/>
      <w:r w:rsidRPr="008E3667">
        <w:rPr>
          <w:rFonts w:cs="Times New Roman"/>
        </w:rPr>
        <w:t>)</w:t>
      </w:r>
      <w:r>
        <w:rPr>
          <w:rFonts w:cs="Times New Roman"/>
        </w:rPr>
        <w:t xml:space="preserve">, </w:t>
      </w:r>
      <w:r w:rsidRPr="008E3667">
        <w:rPr>
          <w:rFonts w:cs="Times New Roman"/>
        </w:rPr>
        <w:t xml:space="preserve">François </w:t>
      </w:r>
      <w:proofErr w:type="spellStart"/>
      <w:r w:rsidRPr="008E3667">
        <w:rPr>
          <w:rFonts w:cs="Times New Roman"/>
        </w:rPr>
        <w:t>Jeger</w:t>
      </w:r>
      <w:proofErr w:type="spellEnd"/>
      <w:r w:rsidRPr="008E3667">
        <w:rPr>
          <w:rFonts w:cs="Times New Roman"/>
        </w:rPr>
        <w:t xml:space="preserve"> (</w:t>
      </w:r>
      <w:proofErr w:type="spellStart"/>
      <w:r w:rsidRPr="008E3667">
        <w:rPr>
          <w:rFonts w:cs="Times New Roman"/>
        </w:rPr>
        <w:t>Cnav</w:t>
      </w:r>
      <w:proofErr w:type="spellEnd"/>
      <w:r w:rsidRPr="008E3667">
        <w:rPr>
          <w:rFonts w:cs="Times New Roman"/>
        </w:rPr>
        <w:t>)</w:t>
      </w:r>
      <w:r>
        <w:rPr>
          <w:rFonts w:cs="Times New Roman"/>
        </w:rPr>
        <w:t>, Marie-Eve Joël (</w:t>
      </w:r>
      <w:r w:rsidRPr="008E3667">
        <w:rPr>
          <w:rFonts w:cs="Times New Roman"/>
        </w:rPr>
        <w:t>Paris-Dauphine)</w:t>
      </w:r>
      <w:r>
        <w:rPr>
          <w:rFonts w:cs="Times New Roman"/>
        </w:rPr>
        <w:t xml:space="preserve">, </w:t>
      </w:r>
      <w:r w:rsidR="007954B2">
        <w:rPr>
          <w:rFonts w:cs="Times New Roman"/>
        </w:rPr>
        <w:t xml:space="preserve">Jim </w:t>
      </w:r>
      <w:proofErr w:type="spellStart"/>
      <w:r w:rsidR="007954B2">
        <w:rPr>
          <w:rFonts w:cs="Times New Roman"/>
        </w:rPr>
        <w:t>O</w:t>
      </w:r>
      <w:r w:rsidR="007954B2" w:rsidRPr="006E6E24">
        <w:rPr>
          <w:rFonts w:cs="Times New Roman"/>
        </w:rPr>
        <w:t>gg</w:t>
      </w:r>
      <w:proofErr w:type="spellEnd"/>
      <w:r w:rsidR="007954B2" w:rsidRPr="006E6E24">
        <w:rPr>
          <w:rFonts w:cs="Times New Roman"/>
        </w:rPr>
        <w:t xml:space="preserve"> (Young </w:t>
      </w:r>
      <w:proofErr w:type="spellStart"/>
      <w:r w:rsidR="007954B2" w:rsidRPr="006E6E24">
        <w:rPr>
          <w:rFonts w:cs="Times New Roman"/>
        </w:rPr>
        <w:t>Foundation</w:t>
      </w:r>
      <w:proofErr w:type="spellEnd"/>
      <w:r w:rsidR="007954B2" w:rsidRPr="006E6E24">
        <w:rPr>
          <w:rFonts w:cs="Times New Roman"/>
        </w:rPr>
        <w:t xml:space="preserve">, </w:t>
      </w:r>
      <w:proofErr w:type="spellStart"/>
      <w:r w:rsidR="007954B2" w:rsidRPr="006E6E24">
        <w:rPr>
          <w:rFonts w:cs="Times New Roman"/>
        </w:rPr>
        <w:t>Keele</w:t>
      </w:r>
      <w:proofErr w:type="spellEnd"/>
      <w:r w:rsidR="007954B2" w:rsidRPr="006E6E24">
        <w:rPr>
          <w:rFonts w:cs="Times New Roman"/>
        </w:rPr>
        <w:t xml:space="preserve">), </w:t>
      </w:r>
      <w:r w:rsidRPr="008E3667">
        <w:rPr>
          <w:rFonts w:cs="Times New Roman"/>
        </w:rPr>
        <w:t xml:space="preserve">Dominique </w:t>
      </w:r>
      <w:proofErr w:type="spellStart"/>
      <w:r w:rsidRPr="008E3667">
        <w:rPr>
          <w:rFonts w:cs="Times New Roman"/>
        </w:rPr>
        <w:t>Redor</w:t>
      </w:r>
      <w:proofErr w:type="spellEnd"/>
      <w:r w:rsidRPr="008E3667">
        <w:rPr>
          <w:rFonts w:cs="Times New Roman"/>
        </w:rPr>
        <w:t xml:space="preserve"> (Paris Est-Marne La Vallée)</w:t>
      </w:r>
      <w:r>
        <w:rPr>
          <w:rFonts w:cs="Times New Roman"/>
        </w:rPr>
        <w:t xml:space="preserve">, </w:t>
      </w:r>
      <w:r w:rsidRPr="008E3667">
        <w:rPr>
          <w:rFonts w:cs="Times New Roman"/>
        </w:rPr>
        <w:t>Nicolas Sirven (</w:t>
      </w:r>
      <w:proofErr w:type="spellStart"/>
      <w:r w:rsidRPr="008E3667">
        <w:rPr>
          <w:rFonts w:cs="Times New Roman"/>
        </w:rPr>
        <w:t>Irdes</w:t>
      </w:r>
      <w:proofErr w:type="spellEnd"/>
      <w:r w:rsidRPr="008E3667">
        <w:rPr>
          <w:rFonts w:cs="Times New Roman"/>
        </w:rPr>
        <w:t>)</w:t>
      </w:r>
    </w:p>
    <w:p w:rsidR="006E6E24" w:rsidRDefault="006E6E24" w:rsidP="009D2807">
      <w:pPr>
        <w:rPr>
          <w:rFonts w:cs="Times New Roman"/>
        </w:rPr>
      </w:pPr>
    </w:p>
    <w:p w:rsidR="00F054B9" w:rsidRDefault="006E6E24" w:rsidP="00F054B9">
      <w:pPr>
        <w:jc w:val="center"/>
        <w:rPr>
          <w:b/>
          <w:bCs/>
        </w:rPr>
      </w:pPr>
      <w:r>
        <w:rPr>
          <w:b/>
          <w:bCs/>
        </w:rPr>
        <w:t>Comité de pilotage</w:t>
      </w:r>
    </w:p>
    <w:p w:rsidR="006E6E24" w:rsidRDefault="006E6E24" w:rsidP="00F054B9">
      <w:pPr>
        <w:jc w:val="center"/>
        <w:rPr>
          <w:rFonts w:cs="Times New Roman"/>
        </w:rPr>
      </w:pPr>
      <w:r>
        <w:rPr>
          <w:b/>
          <w:bCs/>
        </w:rPr>
        <w:t xml:space="preserve"> </w:t>
      </w:r>
    </w:p>
    <w:p w:rsidR="006E6E24" w:rsidRDefault="006E6E24" w:rsidP="00DF01F9">
      <w:pPr>
        <w:jc w:val="both"/>
        <w:rPr>
          <w:rFonts w:cs="Times New Roman"/>
        </w:rPr>
      </w:pPr>
      <w:r w:rsidRPr="007F4D83">
        <w:t>Abdelhafid Hammouche</w:t>
      </w:r>
      <w:r w:rsidR="00DF01F9">
        <w:t xml:space="preserve"> (Directeur du Clersé), </w:t>
      </w:r>
      <w:r w:rsidR="00DF01F9" w:rsidRPr="007F4D83">
        <w:t>Catherine Déchamp-Le Roux</w:t>
      </w:r>
      <w:r w:rsidR="00DF01F9">
        <w:t>,</w:t>
      </w:r>
      <w:r w:rsidR="00DF01F9" w:rsidRPr="00DF01F9">
        <w:t xml:space="preserve"> </w:t>
      </w:r>
      <w:r w:rsidRPr="007F4D83">
        <w:t>François-Xavier Devetter</w:t>
      </w:r>
      <w:r w:rsidR="00DF01F9">
        <w:t>,</w:t>
      </w:r>
      <w:r w:rsidRPr="006E6E24">
        <w:t xml:space="preserve"> </w:t>
      </w:r>
      <w:r w:rsidRPr="007F4D83">
        <w:t>Florence Jany-Catrice</w:t>
      </w:r>
      <w:r w:rsidR="00DF01F9">
        <w:t>,</w:t>
      </w:r>
      <w:r w:rsidRPr="006E6E24">
        <w:t xml:space="preserve"> </w:t>
      </w:r>
      <w:r w:rsidR="00DF01F9" w:rsidRPr="007F4D83">
        <w:t>Olivier Mazade</w:t>
      </w:r>
      <w:r w:rsidR="00DF01F9">
        <w:t>,</w:t>
      </w:r>
      <w:r w:rsidR="00DF01F9" w:rsidRPr="006E6E24">
        <w:t xml:space="preserve"> </w:t>
      </w:r>
      <w:r w:rsidR="00DF01F9" w:rsidRPr="007F4D83">
        <w:t>Kristoff Talin</w:t>
      </w:r>
      <w:r w:rsidR="00DF01F9">
        <w:t>, N</w:t>
      </w:r>
      <w:r w:rsidRPr="007F4D83">
        <w:t>icolas Vaneecloo</w:t>
      </w:r>
    </w:p>
    <w:sectPr w:rsidR="006E6E24" w:rsidSect="000249FB">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80993"/>
    <w:rsid w:val="000249FB"/>
    <w:rsid w:val="00095E3A"/>
    <w:rsid w:val="000C067C"/>
    <w:rsid w:val="001A2B9F"/>
    <w:rsid w:val="00305077"/>
    <w:rsid w:val="00361DC5"/>
    <w:rsid w:val="003663BD"/>
    <w:rsid w:val="00380993"/>
    <w:rsid w:val="00392E9D"/>
    <w:rsid w:val="00396B64"/>
    <w:rsid w:val="00467A7D"/>
    <w:rsid w:val="00483F0D"/>
    <w:rsid w:val="004A185B"/>
    <w:rsid w:val="006E6E24"/>
    <w:rsid w:val="00717C8F"/>
    <w:rsid w:val="007954B2"/>
    <w:rsid w:val="00805F15"/>
    <w:rsid w:val="00872570"/>
    <w:rsid w:val="008A4025"/>
    <w:rsid w:val="008E3667"/>
    <w:rsid w:val="009A05B7"/>
    <w:rsid w:val="009D2807"/>
    <w:rsid w:val="00A4149F"/>
    <w:rsid w:val="00A85BF4"/>
    <w:rsid w:val="00AA541D"/>
    <w:rsid w:val="00B51A67"/>
    <w:rsid w:val="00B81C19"/>
    <w:rsid w:val="00C80C5D"/>
    <w:rsid w:val="00D32D06"/>
    <w:rsid w:val="00D4267D"/>
    <w:rsid w:val="00D90A57"/>
    <w:rsid w:val="00DF01F9"/>
    <w:rsid w:val="00EC3551"/>
    <w:rsid w:val="00F054B9"/>
    <w:rsid w:val="00F45F15"/>
    <w:rsid w:val="00FA7E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25"/>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A4025"/>
  </w:style>
  <w:style w:type="character" w:customStyle="1" w:styleId="Caractresdenotedebasdepage">
    <w:name w:val="Caractères de note de bas de page"/>
    <w:basedOn w:val="Policepardfaut1"/>
    <w:rsid w:val="008A4025"/>
    <w:rPr>
      <w:vertAlign w:val="superscript"/>
    </w:rPr>
  </w:style>
  <w:style w:type="character" w:customStyle="1" w:styleId="WW8Num2z0">
    <w:name w:val="WW8Num2z0"/>
    <w:rsid w:val="008A4025"/>
    <w:rPr>
      <w:rFonts w:ascii="Times New Roman" w:eastAsia="Times New Roman" w:hAnsi="Times New Roman" w:cs="Times New Roman"/>
    </w:rPr>
  </w:style>
  <w:style w:type="paragraph" w:customStyle="1" w:styleId="Titre1">
    <w:name w:val="Titre1"/>
    <w:basedOn w:val="Normal"/>
    <w:next w:val="Corpsdetexte"/>
    <w:rsid w:val="008A4025"/>
    <w:pPr>
      <w:keepNext/>
      <w:spacing w:before="240" w:after="120"/>
    </w:pPr>
    <w:rPr>
      <w:rFonts w:ascii="Arial" w:hAnsi="Arial"/>
      <w:sz w:val="28"/>
      <w:szCs w:val="28"/>
    </w:rPr>
  </w:style>
  <w:style w:type="paragraph" w:styleId="Corpsdetexte">
    <w:name w:val="Body Text"/>
    <w:basedOn w:val="Normal"/>
    <w:rsid w:val="008A4025"/>
    <w:pPr>
      <w:spacing w:after="120"/>
    </w:pPr>
  </w:style>
  <w:style w:type="paragraph" w:styleId="Liste">
    <w:name w:val="List"/>
    <w:basedOn w:val="Corpsdetexte"/>
    <w:rsid w:val="008A4025"/>
  </w:style>
  <w:style w:type="paragraph" w:customStyle="1" w:styleId="Lgende1">
    <w:name w:val="Légende1"/>
    <w:basedOn w:val="Normal"/>
    <w:rsid w:val="008A4025"/>
    <w:pPr>
      <w:suppressLineNumbers/>
      <w:spacing w:before="120" w:after="120"/>
    </w:pPr>
    <w:rPr>
      <w:i/>
      <w:iCs/>
    </w:rPr>
  </w:style>
  <w:style w:type="paragraph" w:customStyle="1" w:styleId="Index">
    <w:name w:val="Index"/>
    <w:basedOn w:val="Normal"/>
    <w:rsid w:val="008A4025"/>
    <w:pPr>
      <w:suppressLineNumbers/>
    </w:pPr>
  </w:style>
  <w:style w:type="paragraph" w:customStyle="1" w:styleId="Contenudetableau">
    <w:name w:val="Contenu de tableau"/>
    <w:basedOn w:val="Normal"/>
    <w:rsid w:val="008A4025"/>
    <w:pPr>
      <w:suppressLineNumbers/>
    </w:pPr>
  </w:style>
  <w:style w:type="character" w:styleId="Lienhypertexte">
    <w:name w:val="Hyperlink"/>
    <w:basedOn w:val="Policepardfaut"/>
    <w:uiPriority w:val="99"/>
    <w:unhideWhenUsed/>
    <w:rsid w:val="009D2807"/>
    <w:rPr>
      <w:color w:val="0000FF" w:themeColor="hyperlink"/>
      <w:u w:val="single"/>
    </w:rPr>
  </w:style>
  <w:style w:type="character" w:styleId="lev">
    <w:name w:val="Strong"/>
    <w:basedOn w:val="Policepardfaut"/>
    <w:uiPriority w:val="22"/>
    <w:qFormat/>
    <w:rsid w:val="008E3667"/>
    <w:rPr>
      <w:b/>
      <w:bCs/>
    </w:rPr>
  </w:style>
  <w:style w:type="table" w:styleId="Grilledutableau">
    <w:name w:val="Table Grid"/>
    <w:basedOn w:val="TableauNormal"/>
    <w:uiPriority w:val="59"/>
    <w:rsid w:val="008E36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AA54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25"/>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A4025"/>
  </w:style>
  <w:style w:type="character" w:customStyle="1" w:styleId="Caractresdenotedebasdepage">
    <w:name w:val="Caractères de note de bas de page"/>
    <w:basedOn w:val="Policepardfaut1"/>
    <w:rsid w:val="008A4025"/>
    <w:rPr>
      <w:vertAlign w:val="superscript"/>
    </w:rPr>
  </w:style>
  <w:style w:type="character" w:customStyle="1" w:styleId="WW8Num2z0">
    <w:name w:val="WW8Num2z0"/>
    <w:rsid w:val="008A4025"/>
    <w:rPr>
      <w:rFonts w:ascii="Times New Roman" w:eastAsia="Times New Roman" w:hAnsi="Times New Roman" w:cs="Times New Roman"/>
    </w:rPr>
  </w:style>
  <w:style w:type="paragraph" w:customStyle="1" w:styleId="Titre1">
    <w:name w:val="Titre1"/>
    <w:basedOn w:val="Normal"/>
    <w:next w:val="Corpsdetexte"/>
    <w:rsid w:val="008A4025"/>
    <w:pPr>
      <w:keepNext/>
      <w:spacing w:before="240" w:after="120"/>
    </w:pPr>
    <w:rPr>
      <w:rFonts w:ascii="Arial" w:hAnsi="Arial"/>
      <w:sz w:val="28"/>
      <w:szCs w:val="28"/>
    </w:rPr>
  </w:style>
  <w:style w:type="paragraph" w:styleId="Corpsdetexte">
    <w:name w:val="Body Text"/>
    <w:basedOn w:val="Normal"/>
    <w:rsid w:val="008A4025"/>
    <w:pPr>
      <w:spacing w:after="120"/>
    </w:pPr>
  </w:style>
  <w:style w:type="paragraph" w:styleId="Liste">
    <w:name w:val="List"/>
    <w:basedOn w:val="Corpsdetexte"/>
    <w:rsid w:val="008A4025"/>
  </w:style>
  <w:style w:type="paragraph" w:customStyle="1" w:styleId="Lgende1">
    <w:name w:val="Légende1"/>
    <w:basedOn w:val="Normal"/>
    <w:rsid w:val="008A4025"/>
    <w:pPr>
      <w:suppressLineNumbers/>
      <w:spacing w:before="120" w:after="120"/>
    </w:pPr>
    <w:rPr>
      <w:i/>
      <w:iCs/>
    </w:rPr>
  </w:style>
  <w:style w:type="paragraph" w:customStyle="1" w:styleId="Index">
    <w:name w:val="Index"/>
    <w:basedOn w:val="Normal"/>
    <w:rsid w:val="008A4025"/>
    <w:pPr>
      <w:suppressLineNumbers/>
    </w:pPr>
  </w:style>
  <w:style w:type="paragraph" w:customStyle="1" w:styleId="Contenudetableau">
    <w:name w:val="Contenu de tableau"/>
    <w:basedOn w:val="Normal"/>
    <w:rsid w:val="008A4025"/>
    <w:pPr>
      <w:suppressLineNumbers/>
    </w:pPr>
  </w:style>
  <w:style w:type="character" w:styleId="Lienhypertexte">
    <w:name w:val="Hyperlink"/>
    <w:basedOn w:val="Policepardfaut"/>
    <w:uiPriority w:val="99"/>
    <w:unhideWhenUsed/>
    <w:rsid w:val="009D2807"/>
    <w:rPr>
      <w:color w:val="0000FF" w:themeColor="hyperlink"/>
      <w:u w:val="single"/>
    </w:rPr>
  </w:style>
  <w:style w:type="character" w:styleId="lev">
    <w:name w:val="Strong"/>
    <w:basedOn w:val="Policepardfaut"/>
    <w:uiPriority w:val="22"/>
    <w:qFormat/>
    <w:rsid w:val="008E3667"/>
    <w:rPr>
      <w:b/>
      <w:bCs/>
    </w:rPr>
  </w:style>
  <w:style w:type="table" w:styleId="Grilledutableau">
    <w:name w:val="Table Grid"/>
    <w:basedOn w:val="TableauNormal"/>
    <w:uiPriority w:val="59"/>
    <w:rsid w:val="008E36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AA54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jvieil.sciencesconf.org/inde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1052</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CLERSE - CNRS</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 devetter</dc:creator>
  <cp:lastModifiedBy>enseignant</cp:lastModifiedBy>
  <cp:revision>4</cp:revision>
  <cp:lastPrinted>1900-12-31T23:00:00Z</cp:lastPrinted>
  <dcterms:created xsi:type="dcterms:W3CDTF">2012-01-26T14:45:00Z</dcterms:created>
  <dcterms:modified xsi:type="dcterms:W3CDTF">2012-04-18T14:00:00Z</dcterms:modified>
</cp:coreProperties>
</file>