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16" w:rsidRPr="00B81749" w:rsidRDefault="005126F8" w:rsidP="00A63733">
      <w:pPr>
        <w:pStyle w:val="Titre"/>
        <w:spacing w:after="240"/>
        <w:rPr>
          <w:sz w:val="22"/>
        </w:rPr>
      </w:pPr>
      <w:r w:rsidRPr="00B81749">
        <w:rPr>
          <w:sz w:val="22"/>
        </w:rPr>
        <w:t xml:space="preserve">Histoire et techniques </w:t>
      </w:r>
      <w:r w:rsidR="00987813">
        <w:rPr>
          <w:sz w:val="22"/>
        </w:rPr>
        <w:t xml:space="preserve">du </w:t>
      </w:r>
      <w:r w:rsidR="00987813" w:rsidRPr="00987813">
        <w:rPr>
          <w:sz w:val="22"/>
        </w:rPr>
        <w:t>management</w:t>
      </w:r>
      <w:r w:rsidR="00987813">
        <w:rPr>
          <w:sz w:val="22"/>
        </w:rPr>
        <w:t xml:space="preserve"> </w:t>
      </w:r>
      <w:r w:rsidRPr="00B81749">
        <w:rPr>
          <w:sz w:val="22"/>
        </w:rPr>
        <w:t>et du gouvernement</w:t>
      </w:r>
    </w:p>
    <w:p w:rsidR="00472A16" w:rsidRPr="00B81749" w:rsidRDefault="003A41D0" w:rsidP="00A63733">
      <w:pPr>
        <w:pStyle w:val="Titre"/>
        <w:spacing w:after="240"/>
        <w:rPr>
          <w:caps w:val="0"/>
          <w:sz w:val="22"/>
        </w:rPr>
      </w:pPr>
      <w:r>
        <w:rPr>
          <w:caps w:val="0"/>
          <w:sz w:val="22"/>
        </w:rPr>
        <w:t>2014-2015</w:t>
      </w:r>
    </w:p>
    <w:p w:rsidR="00472A16" w:rsidRPr="00B81749" w:rsidRDefault="005126F8" w:rsidP="00A63733">
      <w:pPr>
        <w:pStyle w:val="Titre"/>
        <w:spacing w:after="0"/>
        <w:rPr>
          <w:b w:val="0"/>
          <w:caps w:val="0"/>
          <w:sz w:val="22"/>
        </w:rPr>
      </w:pPr>
      <w:r w:rsidRPr="00B81749">
        <w:rPr>
          <w:b w:val="0"/>
          <w:caps w:val="0"/>
          <w:sz w:val="22"/>
        </w:rPr>
        <w:t>Enseignement du Master de l’EHESS</w:t>
      </w:r>
    </w:p>
    <w:p w:rsidR="00472A16" w:rsidRDefault="005126F8" w:rsidP="00A63733">
      <w:pPr>
        <w:pStyle w:val="Titre"/>
        <w:spacing w:after="0"/>
        <w:rPr>
          <w:b w:val="0"/>
          <w:i/>
          <w:caps w:val="0"/>
          <w:sz w:val="22"/>
        </w:rPr>
      </w:pPr>
      <w:r w:rsidRPr="00B81749">
        <w:rPr>
          <w:b w:val="0"/>
          <w:i/>
          <w:caps w:val="0"/>
          <w:sz w:val="22"/>
        </w:rPr>
        <w:t>Parcours de spécialisation : Travail, techniques, sociétés</w:t>
      </w:r>
    </w:p>
    <w:p w:rsidR="00A509C8" w:rsidRPr="00A509C8" w:rsidRDefault="00A509C8" w:rsidP="00A63733">
      <w:pPr>
        <w:pStyle w:val="Sous-titre"/>
      </w:pPr>
    </w:p>
    <w:p w:rsidR="00472A16" w:rsidRPr="00A509C8" w:rsidRDefault="005126F8" w:rsidP="00A63733">
      <w:pPr>
        <w:jc w:val="center"/>
        <w:rPr>
          <w:sz w:val="22"/>
          <w:szCs w:val="22"/>
        </w:rPr>
      </w:pPr>
      <w:proofErr w:type="gramStart"/>
      <w:r w:rsidRPr="00A509C8">
        <w:rPr>
          <w:sz w:val="22"/>
          <w:szCs w:val="22"/>
        </w:rPr>
        <w:t>coordonné</w:t>
      </w:r>
      <w:proofErr w:type="gramEnd"/>
      <w:r w:rsidRPr="00A509C8">
        <w:rPr>
          <w:sz w:val="22"/>
          <w:szCs w:val="22"/>
        </w:rPr>
        <w:t xml:space="preserve"> par Yves Cohen (EHESS) et </w:t>
      </w:r>
      <w:proofErr w:type="spellStart"/>
      <w:r w:rsidRPr="00A509C8">
        <w:rPr>
          <w:sz w:val="22"/>
          <w:szCs w:val="22"/>
        </w:rPr>
        <w:t>Ferruccio</w:t>
      </w:r>
      <w:proofErr w:type="spellEnd"/>
      <w:r w:rsidRPr="00A509C8">
        <w:rPr>
          <w:sz w:val="22"/>
          <w:szCs w:val="22"/>
        </w:rPr>
        <w:t xml:space="preserve"> </w:t>
      </w:r>
      <w:proofErr w:type="spellStart"/>
      <w:r w:rsidRPr="00A509C8">
        <w:rPr>
          <w:sz w:val="22"/>
          <w:szCs w:val="22"/>
        </w:rPr>
        <w:t>Ricciardi</w:t>
      </w:r>
      <w:proofErr w:type="spellEnd"/>
      <w:r w:rsidRPr="00A509C8">
        <w:rPr>
          <w:sz w:val="22"/>
          <w:szCs w:val="22"/>
        </w:rPr>
        <w:t xml:space="preserve"> (</w:t>
      </w:r>
      <w:r w:rsidR="00CC0917">
        <w:t>CNRS, LISE-CNAM</w:t>
      </w:r>
      <w:r w:rsidRPr="00A509C8">
        <w:rPr>
          <w:sz w:val="22"/>
          <w:szCs w:val="22"/>
        </w:rPr>
        <w:t xml:space="preserve">) avec </w:t>
      </w:r>
      <w:r w:rsidR="0016148D" w:rsidRPr="00A509C8">
        <w:rPr>
          <w:sz w:val="22"/>
          <w:szCs w:val="22"/>
        </w:rPr>
        <w:t xml:space="preserve">Didier </w:t>
      </w:r>
      <w:proofErr w:type="spellStart"/>
      <w:r w:rsidR="0016148D" w:rsidRPr="00A509C8">
        <w:rPr>
          <w:sz w:val="22"/>
          <w:szCs w:val="22"/>
        </w:rPr>
        <w:t>Bensadon</w:t>
      </w:r>
      <w:proofErr w:type="spellEnd"/>
      <w:r w:rsidR="0016148D" w:rsidRPr="00A509C8">
        <w:rPr>
          <w:sz w:val="22"/>
          <w:szCs w:val="22"/>
        </w:rPr>
        <w:t xml:space="preserve"> (Université Paris Dauphine), </w:t>
      </w:r>
      <w:r w:rsidRPr="00A509C8">
        <w:rPr>
          <w:sz w:val="22"/>
          <w:szCs w:val="22"/>
        </w:rPr>
        <w:t xml:space="preserve">Valérie </w:t>
      </w:r>
      <w:proofErr w:type="spellStart"/>
      <w:r w:rsidRPr="00A509C8">
        <w:rPr>
          <w:sz w:val="22"/>
          <w:szCs w:val="22"/>
        </w:rPr>
        <w:t>Boussard</w:t>
      </w:r>
      <w:proofErr w:type="spellEnd"/>
      <w:r w:rsidRPr="00A509C8">
        <w:rPr>
          <w:sz w:val="22"/>
          <w:szCs w:val="22"/>
        </w:rPr>
        <w:t xml:space="preserve"> (Université de Paris Ouest Nanterre), Patrick </w:t>
      </w:r>
      <w:proofErr w:type="spellStart"/>
      <w:r w:rsidRPr="00A509C8">
        <w:rPr>
          <w:sz w:val="22"/>
          <w:szCs w:val="22"/>
        </w:rPr>
        <w:t>Fridenson</w:t>
      </w:r>
      <w:proofErr w:type="spellEnd"/>
      <w:r w:rsidRPr="00A509C8">
        <w:rPr>
          <w:sz w:val="22"/>
          <w:szCs w:val="22"/>
        </w:rPr>
        <w:t xml:space="preserve"> (EHESS), Paolo </w:t>
      </w:r>
      <w:proofErr w:type="spellStart"/>
      <w:r w:rsidRPr="00A509C8">
        <w:rPr>
          <w:sz w:val="22"/>
          <w:szCs w:val="22"/>
        </w:rPr>
        <w:t>Napoli</w:t>
      </w:r>
      <w:proofErr w:type="spellEnd"/>
      <w:r w:rsidRPr="00A509C8">
        <w:rPr>
          <w:sz w:val="22"/>
          <w:szCs w:val="22"/>
        </w:rPr>
        <w:t xml:space="preserve"> (EHESS), Michel Villette (</w:t>
      </w:r>
      <w:proofErr w:type="spellStart"/>
      <w:r w:rsidRPr="00A509C8">
        <w:rPr>
          <w:sz w:val="22"/>
          <w:szCs w:val="22"/>
        </w:rPr>
        <w:t>AgroParisTech</w:t>
      </w:r>
      <w:proofErr w:type="spellEnd"/>
      <w:r w:rsidRPr="00A509C8">
        <w:rPr>
          <w:sz w:val="22"/>
          <w:szCs w:val="22"/>
        </w:rPr>
        <w:t xml:space="preserve">) </w:t>
      </w:r>
    </w:p>
    <w:p w:rsidR="00472A16" w:rsidRPr="00B81749" w:rsidRDefault="00472A16" w:rsidP="00A63733">
      <w:pPr>
        <w:jc w:val="center"/>
        <w:rPr>
          <w:sz w:val="22"/>
          <w:szCs w:val="22"/>
        </w:rPr>
      </w:pPr>
    </w:p>
    <w:p w:rsidR="00472A16" w:rsidRPr="00B81749" w:rsidRDefault="005126F8" w:rsidP="00A63733">
      <w:pPr>
        <w:jc w:val="center"/>
        <w:rPr>
          <w:bCs/>
          <w:sz w:val="22"/>
          <w:szCs w:val="22"/>
        </w:rPr>
      </w:pPr>
      <w:proofErr w:type="gramStart"/>
      <w:r w:rsidRPr="00B81749">
        <w:rPr>
          <w:sz w:val="22"/>
          <w:szCs w:val="22"/>
        </w:rPr>
        <w:t>le</w:t>
      </w:r>
      <w:proofErr w:type="gramEnd"/>
      <w:r w:rsidRPr="00B81749">
        <w:rPr>
          <w:sz w:val="22"/>
          <w:szCs w:val="22"/>
        </w:rPr>
        <w:t xml:space="preserve"> mardi de 15 à 17 </w:t>
      </w:r>
      <w:r w:rsidR="00992FEB" w:rsidRPr="00B81749">
        <w:rPr>
          <w:sz w:val="22"/>
          <w:szCs w:val="22"/>
        </w:rPr>
        <w:t>h,</w:t>
      </w:r>
      <w:r w:rsidRPr="00B81749">
        <w:rPr>
          <w:sz w:val="22"/>
          <w:szCs w:val="22"/>
        </w:rPr>
        <w:t xml:space="preserve"> </w:t>
      </w:r>
      <w:r w:rsidRPr="00B81749">
        <w:rPr>
          <w:bCs/>
          <w:sz w:val="22"/>
          <w:szCs w:val="22"/>
        </w:rPr>
        <w:t xml:space="preserve">salle 3, </w:t>
      </w:r>
      <w:proofErr w:type="spellStart"/>
      <w:r w:rsidRPr="00B81749">
        <w:rPr>
          <w:bCs/>
          <w:sz w:val="22"/>
          <w:szCs w:val="22"/>
        </w:rPr>
        <w:t>RdC</w:t>
      </w:r>
      <w:proofErr w:type="spellEnd"/>
      <w:r w:rsidRPr="00B81749">
        <w:rPr>
          <w:bCs/>
          <w:sz w:val="22"/>
          <w:szCs w:val="22"/>
        </w:rPr>
        <w:t xml:space="preserve">, 190-198 avenue de France </w:t>
      </w:r>
    </w:p>
    <w:p w:rsidR="00472A16" w:rsidRPr="00B81749" w:rsidRDefault="003A41D0" w:rsidP="00A63733">
      <w:pPr>
        <w:jc w:val="center"/>
        <w:rPr>
          <w:sz w:val="22"/>
          <w:szCs w:val="22"/>
        </w:rPr>
      </w:pPr>
      <w:proofErr w:type="gramStart"/>
      <w:r>
        <w:rPr>
          <w:bCs/>
          <w:sz w:val="22"/>
          <w:szCs w:val="22"/>
        </w:rPr>
        <w:t>à</w:t>
      </w:r>
      <w:proofErr w:type="gramEnd"/>
      <w:r>
        <w:rPr>
          <w:bCs/>
          <w:sz w:val="22"/>
          <w:szCs w:val="22"/>
        </w:rPr>
        <w:t xml:space="preserve"> partir du 4 novembre 2014</w:t>
      </w:r>
      <w:r w:rsidR="000E5A3D">
        <w:rPr>
          <w:bCs/>
          <w:sz w:val="22"/>
          <w:szCs w:val="22"/>
        </w:rPr>
        <w:t xml:space="preserve"> et </w:t>
      </w:r>
      <w:r w:rsidR="000E5A3D" w:rsidRPr="000E5A3D">
        <w:rPr>
          <w:bCs/>
          <w:sz w:val="22"/>
          <w:szCs w:val="22"/>
        </w:rPr>
        <w:t>jusqu’</w:t>
      </w:r>
      <w:r w:rsidR="000E5A3D">
        <w:rPr>
          <w:bCs/>
          <w:sz w:val="22"/>
          <w:szCs w:val="22"/>
        </w:rPr>
        <w:t xml:space="preserve">au </w:t>
      </w:r>
      <w:r>
        <w:rPr>
          <w:bCs/>
          <w:sz w:val="22"/>
          <w:szCs w:val="22"/>
        </w:rPr>
        <w:t>10</w:t>
      </w:r>
      <w:r w:rsidR="000E5A3D">
        <w:rPr>
          <w:bCs/>
          <w:sz w:val="22"/>
          <w:szCs w:val="22"/>
        </w:rPr>
        <w:t xml:space="preserve"> </w:t>
      </w:r>
      <w:r w:rsidR="000E5A3D" w:rsidRPr="000E5A3D">
        <w:rPr>
          <w:bCs/>
          <w:sz w:val="22"/>
          <w:szCs w:val="22"/>
        </w:rPr>
        <w:t>février</w:t>
      </w:r>
      <w:r>
        <w:rPr>
          <w:bCs/>
          <w:sz w:val="22"/>
          <w:szCs w:val="22"/>
        </w:rPr>
        <w:t xml:space="preserve"> 2015</w:t>
      </w:r>
    </w:p>
    <w:p w:rsidR="00472A16" w:rsidRPr="00B81749" w:rsidRDefault="00472A16" w:rsidP="00472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472A16" w:rsidRPr="00B81749" w:rsidRDefault="005126F8" w:rsidP="00472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B81749">
        <w:rPr>
          <w:sz w:val="22"/>
          <w:szCs w:val="22"/>
        </w:rPr>
        <w:t xml:space="preserve">Cet enseignement présente un tableau de diverses démarches en histoire et en sociologie et une familiarisation à la recherche en gestion. Il aborde les organisations et le gouvernement sous un angle particulier. Il les envisage comme des pratiques, des pratiques équipées de techniques et d’outils. Cet angle permet de les penser comme des activités et de présenter l’ensemble des débats des différentes disciplines qui les prennent ici pour objet. </w:t>
      </w:r>
    </w:p>
    <w:p w:rsidR="00472A16" w:rsidRPr="00B81749" w:rsidRDefault="005126F8" w:rsidP="00472A16">
      <w:pPr>
        <w:spacing w:before="180"/>
        <w:rPr>
          <w:sz w:val="22"/>
          <w:szCs w:val="22"/>
        </w:rPr>
      </w:pPr>
      <w:r w:rsidRPr="00B81749">
        <w:rPr>
          <w:sz w:val="22"/>
          <w:szCs w:val="22"/>
        </w:rPr>
        <w:t xml:space="preserve">L’enseignement ne connaîtra donc ni frontières disciplinaires (il présentera le point de vue des diverses disciplines ainsi que des points de vue transdisciplinaires), ni frontières temporelles (la genèse de notions comme la gestion et l’administration sera problématisée depuis le moyen âge), ni frontières géographiques (nous présenteront aussi bien des points de vue localisés que des phénomènes de circulation). Il ne prétend bien sûr à aucune exhaustivité. </w:t>
      </w:r>
    </w:p>
    <w:p w:rsidR="00472A16" w:rsidRPr="00B81749" w:rsidRDefault="005126F8" w:rsidP="00472A16">
      <w:pPr>
        <w:spacing w:before="180"/>
        <w:rPr>
          <w:sz w:val="22"/>
          <w:szCs w:val="22"/>
        </w:rPr>
      </w:pPr>
      <w:r w:rsidRPr="00B81749">
        <w:rPr>
          <w:sz w:val="22"/>
          <w:szCs w:val="22"/>
        </w:rPr>
        <w:t>En règle générale, à la première des deux séances de chaque enseignant, une bibliographie succincte de la thématique sera donnée ainsi qu’un ou deux textes à lire pour la seconde séance.</w:t>
      </w:r>
    </w:p>
    <w:p w:rsidR="00472A16" w:rsidRPr="007E1683" w:rsidRDefault="00472A16" w:rsidP="00472A16">
      <w:pPr>
        <w:spacing w:before="18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6626"/>
      </w:tblGrid>
      <w:tr w:rsidR="00472A16" w:rsidRPr="007E1683" w:rsidTr="00A04E5D">
        <w:trPr>
          <w:trHeight w:val="863"/>
        </w:trPr>
        <w:tc>
          <w:tcPr>
            <w:tcW w:w="1384" w:type="dxa"/>
            <w:shd w:val="clear" w:color="auto" w:fill="auto"/>
            <w:vAlign w:val="center"/>
          </w:tcPr>
          <w:p w:rsidR="00472A16" w:rsidRPr="007E1683" w:rsidRDefault="00A064D5" w:rsidP="00472A16">
            <w:pPr>
              <w:jc w:val="right"/>
              <w:rPr>
                <w:b/>
                <w:sz w:val="22"/>
                <w:szCs w:val="22"/>
              </w:rPr>
            </w:pPr>
            <w:r w:rsidRPr="007E1683">
              <w:rPr>
                <w:sz w:val="22"/>
                <w:szCs w:val="22"/>
              </w:rPr>
              <w:t>4</w:t>
            </w:r>
            <w:r w:rsidR="005126F8" w:rsidRPr="007E1683">
              <w:rPr>
                <w:sz w:val="22"/>
                <w:szCs w:val="22"/>
              </w:rPr>
              <w:t xml:space="preserve"> novembre </w:t>
            </w:r>
            <w:r w:rsidRPr="007E1683">
              <w:rPr>
                <w:b/>
                <w:sz w:val="22"/>
                <w:szCs w:val="22"/>
              </w:rPr>
              <w:t>2014</w:t>
            </w:r>
          </w:p>
        </w:tc>
        <w:tc>
          <w:tcPr>
            <w:tcW w:w="1843" w:type="dxa"/>
            <w:shd w:val="clear" w:color="auto" w:fill="auto"/>
            <w:vAlign w:val="center"/>
          </w:tcPr>
          <w:p w:rsidR="00472A16" w:rsidRPr="007E1683" w:rsidRDefault="005126F8" w:rsidP="00992FEB">
            <w:pPr>
              <w:jc w:val="center"/>
              <w:rPr>
                <w:sz w:val="22"/>
                <w:szCs w:val="22"/>
              </w:rPr>
            </w:pPr>
            <w:r w:rsidRPr="007E1683">
              <w:rPr>
                <w:sz w:val="22"/>
                <w:szCs w:val="22"/>
              </w:rPr>
              <w:t>YC</w:t>
            </w:r>
            <w:r w:rsidR="00CF328E" w:rsidRPr="007E1683">
              <w:rPr>
                <w:sz w:val="22"/>
                <w:szCs w:val="22"/>
              </w:rPr>
              <w:t xml:space="preserve"> et </w:t>
            </w:r>
            <w:r w:rsidRPr="007E1683">
              <w:rPr>
                <w:sz w:val="22"/>
                <w:szCs w:val="22"/>
              </w:rPr>
              <w:t>FR</w:t>
            </w:r>
            <w:r w:rsidR="00992FEB" w:rsidRPr="007E1683">
              <w:rPr>
                <w:sz w:val="22"/>
                <w:szCs w:val="22"/>
              </w:rPr>
              <w:t xml:space="preserve"> +</w:t>
            </w:r>
          </w:p>
          <w:p w:rsidR="00472A16" w:rsidRPr="007E1683" w:rsidRDefault="00C01BD9" w:rsidP="00992FEB">
            <w:pPr>
              <w:jc w:val="center"/>
              <w:rPr>
                <w:sz w:val="22"/>
                <w:szCs w:val="22"/>
              </w:rPr>
            </w:pPr>
            <w:r w:rsidRPr="007E1683">
              <w:rPr>
                <w:sz w:val="22"/>
                <w:szCs w:val="22"/>
              </w:rPr>
              <w:t xml:space="preserve">Patrick </w:t>
            </w:r>
            <w:proofErr w:type="spellStart"/>
            <w:r w:rsidRPr="007E1683">
              <w:rPr>
                <w:sz w:val="22"/>
                <w:szCs w:val="22"/>
              </w:rPr>
              <w:t>Fridenson</w:t>
            </w:r>
            <w:proofErr w:type="spellEnd"/>
          </w:p>
        </w:tc>
        <w:tc>
          <w:tcPr>
            <w:tcW w:w="6626" w:type="dxa"/>
            <w:shd w:val="clear" w:color="auto" w:fill="auto"/>
            <w:vAlign w:val="center"/>
          </w:tcPr>
          <w:p w:rsidR="00472A16" w:rsidRPr="00987813" w:rsidRDefault="005126F8" w:rsidP="00472A16">
            <w:pPr>
              <w:jc w:val="right"/>
              <w:rPr>
                <w:sz w:val="22"/>
                <w:szCs w:val="22"/>
              </w:rPr>
            </w:pPr>
            <w:r w:rsidRPr="00987813">
              <w:rPr>
                <w:sz w:val="22"/>
                <w:szCs w:val="22"/>
              </w:rPr>
              <w:t>Brève introduction générale +</w:t>
            </w:r>
          </w:p>
          <w:p w:rsidR="00472A16" w:rsidRPr="007E1683" w:rsidRDefault="00987813" w:rsidP="00987813">
            <w:pPr>
              <w:jc w:val="right"/>
              <w:rPr>
                <w:sz w:val="22"/>
                <w:szCs w:val="22"/>
              </w:rPr>
            </w:pPr>
            <w:r w:rsidRPr="00987813">
              <w:rPr>
                <w:sz w:val="22"/>
                <w:szCs w:val="22"/>
              </w:rPr>
              <w:t>À propos du management des émotions dans les grandes entreprises allemandes de 1900 à 1980 (</w:t>
            </w:r>
            <w:r>
              <w:rPr>
                <w:sz w:val="22"/>
                <w:szCs w:val="22"/>
              </w:rPr>
              <w:t xml:space="preserve">accent </w:t>
            </w:r>
            <w:r w:rsidRPr="00987813">
              <w:rPr>
                <w:sz w:val="22"/>
                <w:szCs w:val="22"/>
              </w:rPr>
              <w:t>sur la période postérieure à 1933)</w:t>
            </w:r>
          </w:p>
        </w:tc>
      </w:tr>
      <w:tr w:rsidR="00472A16" w:rsidRPr="007E1683" w:rsidTr="00A04E5D">
        <w:trPr>
          <w:trHeight w:val="525"/>
        </w:trPr>
        <w:tc>
          <w:tcPr>
            <w:tcW w:w="1384" w:type="dxa"/>
            <w:shd w:val="clear" w:color="auto" w:fill="auto"/>
            <w:vAlign w:val="center"/>
          </w:tcPr>
          <w:p w:rsidR="00472A16" w:rsidRPr="007E1683" w:rsidRDefault="00A064D5" w:rsidP="00472A16">
            <w:pPr>
              <w:jc w:val="right"/>
              <w:rPr>
                <w:sz w:val="22"/>
                <w:szCs w:val="22"/>
              </w:rPr>
            </w:pPr>
            <w:r w:rsidRPr="007E1683">
              <w:rPr>
                <w:sz w:val="22"/>
                <w:szCs w:val="22"/>
              </w:rPr>
              <w:t>18</w:t>
            </w:r>
            <w:r w:rsidR="005126F8" w:rsidRPr="007E1683">
              <w:rPr>
                <w:sz w:val="22"/>
                <w:szCs w:val="22"/>
              </w:rPr>
              <w:t xml:space="preserve"> novembre </w:t>
            </w:r>
          </w:p>
        </w:tc>
        <w:tc>
          <w:tcPr>
            <w:tcW w:w="1843" w:type="dxa"/>
            <w:shd w:val="clear" w:color="auto" w:fill="auto"/>
            <w:vAlign w:val="center"/>
          </w:tcPr>
          <w:p w:rsidR="00472A16" w:rsidRPr="007E1683" w:rsidRDefault="000D03A7" w:rsidP="00472A16">
            <w:pPr>
              <w:jc w:val="right"/>
              <w:rPr>
                <w:sz w:val="22"/>
                <w:szCs w:val="22"/>
              </w:rPr>
            </w:pPr>
            <w:r w:rsidRPr="007E1683">
              <w:rPr>
                <w:sz w:val="22"/>
                <w:szCs w:val="22"/>
              </w:rPr>
              <w:t xml:space="preserve">Valérie </w:t>
            </w:r>
            <w:proofErr w:type="spellStart"/>
            <w:r w:rsidRPr="007E1683">
              <w:rPr>
                <w:sz w:val="22"/>
                <w:szCs w:val="22"/>
              </w:rPr>
              <w:t>Boussard</w:t>
            </w:r>
            <w:proofErr w:type="spellEnd"/>
          </w:p>
        </w:tc>
        <w:tc>
          <w:tcPr>
            <w:tcW w:w="6626" w:type="dxa"/>
            <w:shd w:val="clear" w:color="auto" w:fill="auto"/>
            <w:vAlign w:val="center"/>
          </w:tcPr>
          <w:p w:rsidR="00472A16" w:rsidRPr="007E1683" w:rsidRDefault="008E5F64" w:rsidP="00472A16">
            <w:pPr>
              <w:jc w:val="right"/>
              <w:rPr>
                <w:sz w:val="22"/>
                <w:szCs w:val="22"/>
              </w:rPr>
            </w:pPr>
            <w:r w:rsidRPr="007E1683">
              <w:rPr>
                <w:rFonts w:cs="Times-Roman"/>
                <w:sz w:val="22"/>
                <w:szCs w:val="22"/>
                <w:lang w:bidi="fr-FR"/>
              </w:rPr>
              <w:t>Trajectoires de dispositifs de gestion et trajectoires professionnelles I</w:t>
            </w:r>
          </w:p>
        </w:tc>
      </w:tr>
      <w:tr w:rsidR="00C01BD9" w:rsidRPr="007E1683" w:rsidTr="00A04E5D">
        <w:trPr>
          <w:trHeight w:val="450"/>
        </w:trPr>
        <w:tc>
          <w:tcPr>
            <w:tcW w:w="1384" w:type="dxa"/>
            <w:shd w:val="clear" w:color="auto" w:fill="auto"/>
            <w:vAlign w:val="center"/>
          </w:tcPr>
          <w:p w:rsidR="00C01BD9" w:rsidRPr="007E1683" w:rsidRDefault="00A064D5" w:rsidP="00472A16">
            <w:pPr>
              <w:jc w:val="right"/>
              <w:rPr>
                <w:sz w:val="22"/>
                <w:szCs w:val="22"/>
              </w:rPr>
            </w:pPr>
            <w:r w:rsidRPr="007E1683">
              <w:rPr>
                <w:sz w:val="22"/>
                <w:szCs w:val="22"/>
              </w:rPr>
              <w:t>25</w:t>
            </w:r>
            <w:r w:rsidR="00C01BD9" w:rsidRPr="007E1683">
              <w:rPr>
                <w:sz w:val="22"/>
                <w:szCs w:val="22"/>
              </w:rPr>
              <w:t xml:space="preserve"> novembre </w:t>
            </w:r>
          </w:p>
        </w:tc>
        <w:tc>
          <w:tcPr>
            <w:tcW w:w="1843" w:type="dxa"/>
            <w:shd w:val="clear" w:color="auto" w:fill="auto"/>
            <w:vAlign w:val="center"/>
          </w:tcPr>
          <w:p w:rsidR="00C01BD9" w:rsidRPr="007E1683" w:rsidRDefault="000D03A7" w:rsidP="0016148D">
            <w:pPr>
              <w:jc w:val="right"/>
              <w:rPr>
                <w:sz w:val="22"/>
                <w:szCs w:val="22"/>
              </w:rPr>
            </w:pPr>
            <w:r w:rsidRPr="007E1683">
              <w:rPr>
                <w:sz w:val="22"/>
                <w:szCs w:val="22"/>
              </w:rPr>
              <w:t>Yves Cohen</w:t>
            </w:r>
          </w:p>
        </w:tc>
        <w:tc>
          <w:tcPr>
            <w:tcW w:w="6626" w:type="dxa"/>
            <w:shd w:val="clear" w:color="auto" w:fill="auto"/>
            <w:vAlign w:val="center"/>
          </w:tcPr>
          <w:p w:rsidR="00C01BD9" w:rsidRPr="007E1683" w:rsidRDefault="007E1683" w:rsidP="00472A16">
            <w:pPr>
              <w:jc w:val="right"/>
              <w:rPr>
                <w:sz w:val="22"/>
                <w:szCs w:val="22"/>
              </w:rPr>
            </w:pPr>
            <w:r w:rsidRPr="007E1683">
              <w:rPr>
                <w:sz w:val="22"/>
                <w:szCs w:val="22"/>
              </w:rPr>
              <w:t>Management, autorité, influence et leur histoire : réflexions thématiques</w:t>
            </w:r>
          </w:p>
        </w:tc>
      </w:tr>
      <w:tr w:rsidR="00A04E5D" w:rsidRPr="007E1683" w:rsidTr="00A04E5D">
        <w:trPr>
          <w:trHeight w:val="450"/>
        </w:trPr>
        <w:tc>
          <w:tcPr>
            <w:tcW w:w="1384" w:type="dxa"/>
            <w:shd w:val="clear" w:color="auto" w:fill="auto"/>
            <w:vAlign w:val="center"/>
          </w:tcPr>
          <w:p w:rsidR="00A04E5D" w:rsidRPr="007E1683" w:rsidRDefault="00A04E5D" w:rsidP="004B1DED">
            <w:pPr>
              <w:jc w:val="right"/>
              <w:rPr>
                <w:sz w:val="22"/>
                <w:szCs w:val="22"/>
              </w:rPr>
            </w:pPr>
            <w:r w:rsidRPr="007E1683">
              <w:rPr>
                <w:sz w:val="22"/>
                <w:szCs w:val="22"/>
              </w:rPr>
              <w:t>2 décembre</w:t>
            </w:r>
          </w:p>
        </w:tc>
        <w:tc>
          <w:tcPr>
            <w:tcW w:w="1843" w:type="dxa"/>
            <w:vMerge w:val="restart"/>
            <w:shd w:val="clear" w:color="auto" w:fill="auto"/>
            <w:vAlign w:val="center"/>
          </w:tcPr>
          <w:p w:rsidR="00A04E5D" w:rsidRPr="007E1683" w:rsidRDefault="00A04E5D" w:rsidP="000D03A7">
            <w:pPr>
              <w:jc w:val="right"/>
              <w:rPr>
                <w:sz w:val="22"/>
                <w:szCs w:val="22"/>
              </w:rPr>
            </w:pPr>
            <w:r w:rsidRPr="007E1683">
              <w:rPr>
                <w:sz w:val="22"/>
                <w:szCs w:val="22"/>
              </w:rPr>
              <w:t>Michel Villette</w:t>
            </w:r>
          </w:p>
        </w:tc>
        <w:tc>
          <w:tcPr>
            <w:tcW w:w="6626" w:type="dxa"/>
            <w:shd w:val="clear" w:color="auto" w:fill="auto"/>
            <w:vAlign w:val="center"/>
          </w:tcPr>
          <w:p w:rsidR="00A04E5D" w:rsidRPr="007E1683" w:rsidRDefault="00A04E5D" w:rsidP="0014509C">
            <w:pPr>
              <w:jc w:val="right"/>
              <w:rPr>
                <w:sz w:val="22"/>
                <w:szCs w:val="22"/>
              </w:rPr>
            </w:pPr>
            <w:r w:rsidRPr="007E1683">
              <w:rPr>
                <w:sz w:val="22"/>
                <w:szCs w:val="22"/>
              </w:rPr>
              <w:t xml:space="preserve">Retour sur </w:t>
            </w:r>
            <w:r w:rsidRPr="007E1683">
              <w:rPr>
                <w:i/>
                <w:sz w:val="22"/>
                <w:szCs w:val="22"/>
              </w:rPr>
              <w:t xml:space="preserve">L'homme qui </w:t>
            </w:r>
            <w:bookmarkStart w:id="0" w:name="_GoBack"/>
            <w:r w:rsidRPr="007E1683">
              <w:rPr>
                <w:i/>
                <w:sz w:val="22"/>
                <w:szCs w:val="22"/>
              </w:rPr>
              <w:t>c</w:t>
            </w:r>
            <w:bookmarkEnd w:id="0"/>
            <w:r w:rsidRPr="007E1683">
              <w:rPr>
                <w:i/>
                <w:sz w:val="22"/>
                <w:szCs w:val="22"/>
              </w:rPr>
              <w:t>royait au management</w:t>
            </w:r>
            <w:r w:rsidRPr="007E1683">
              <w:rPr>
                <w:sz w:val="22"/>
                <w:szCs w:val="22"/>
              </w:rPr>
              <w:t xml:space="preserve"> (en ligne sur classiques.uqac.ca)</w:t>
            </w:r>
          </w:p>
        </w:tc>
      </w:tr>
      <w:tr w:rsidR="00A04E5D" w:rsidRPr="007E1683" w:rsidTr="00A04E5D">
        <w:trPr>
          <w:trHeight w:val="450"/>
        </w:trPr>
        <w:tc>
          <w:tcPr>
            <w:tcW w:w="1384" w:type="dxa"/>
            <w:shd w:val="clear" w:color="auto" w:fill="auto"/>
            <w:vAlign w:val="center"/>
          </w:tcPr>
          <w:p w:rsidR="00A04E5D" w:rsidRPr="007E1683" w:rsidRDefault="00A04E5D" w:rsidP="00472A16">
            <w:pPr>
              <w:jc w:val="right"/>
              <w:rPr>
                <w:sz w:val="22"/>
                <w:szCs w:val="22"/>
              </w:rPr>
            </w:pPr>
            <w:r w:rsidRPr="007E1683">
              <w:rPr>
                <w:sz w:val="22"/>
                <w:szCs w:val="22"/>
              </w:rPr>
              <w:t xml:space="preserve">9 décembre </w:t>
            </w:r>
          </w:p>
        </w:tc>
        <w:tc>
          <w:tcPr>
            <w:tcW w:w="1843" w:type="dxa"/>
            <w:vMerge/>
            <w:shd w:val="clear" w:color="auto" w:fill="auto"/>
            <w:vAlign w:val="center"/>
          </w:tcPr>
          <w:p w:rsidR="00A04E5D" w:rsidRPr="007E1683" w:rsidRDefault="00A04E5D" w:rsidP="000D03A7">
            <w:pPr>
              <w:jc w:val="right"/>
              <w:rPr>
                <w:sz w:val="22"/>
                <w:szCs w:val="22"/>
              </w:rPr>
            </w:pPr>
          </w:p>
        </w:tc>
        <w:tc>
          <w:tcPr>
            <w:tcW w:w="6626" w:type="dxa"/>
            <w:shd w:val="clear" w:color="auto" w:fill="auto"/>
            <w:vAlign w:val="center"/>
          </w:tcPr>
          <w:p w:rsidR="00A04E5D" w:rsidRPr="007E1683" w:rsidRDefault="00A04E5D" w:rsidP="00472A16">
            <w:pPr>
              <w:widowControl w:val="0"/>
              <w:suppressAutoHyphens w:val="0"/>
              <w:autoSpaceDE w:val="0"/>
              <w:autoSpaceDN w:val="0"/>
              <w:adjustRightInd w:val="0"/>
              <w:jc w:val="right"/>
              <w:rPr>
                <w:sz w:val="22"/>
                <w:szCs w:val="22"/>
              </w:rPr>
            </w:pPr>
            <w:r w:rsidRPr="007E1683">
              <w:rPr>
                <w:rFonts w:cs="Times-Roman"/>
                <w:sz w:val="22"/>
                <w:szCs w:val="22"/>
                <w:lang w:bidi="fr-FR"/>
              </w:rPr>
              <w:t xml:space="preserve">Un projet de recherche global : </w:t>
            </w:r>
            <w:r w:rsidRPr="007E1683">
              <w:rPr>
                <w:sz w:val="22"/>
                <w:szCs w:val="22"/>
              </w:rPr>
              <w:t>l'adaptation des  managers expatriés au contexte des affaires du pays d'accueil</w:t>
            </w:r>
          </w:p>
        </w:tc>
      </w:tr>
      <w:tr w:rsidR="00472A16" w:rsidRPr="007E1683" w:rsidTr="00A04E5D">
        <w:trPr>
          <w:trHeight w:val="450"/>
        </w:trPr>
        <w:tc>
          <w:tcPr>
            <w:tcW w:w="1384" w:type="dxa"/>
            <w:shd w:val="clear" w:color="auto" w:fill="auto"/>
            <w:vAlign w:val="center"/>
          </w:tcPr>
          <w:p w:rsidR="00472A16" w:rsidRPr="007E1683" w:rsidRDefault="00A064D5" w:rsidP="00472A16">
            <w:pPr>
              <w:jc w:val="right"/>
              <w:rPr>
                <w:sz w:val="22"/>
                <w:szCs w:val="22"/>
              </w:rPr>
            </w:pPr>
            <w:r w:rsidRPr="007E1683">
              <w:rPr>
                <w:sz w:val="22"/>
                <w:szCs w:val="22"/>
              </w:rPr>
              <w:t>16</w:t>
            </w:r>
            <w:r w:rsidR="005126F8" w:rsidRPr="007E1683">
              <w:rPr>
                <w:sz w:val="22"/>
                <w:szCs w:val="22"/>
              </w:rPr>
              <w:t xml:space="preserve"> décembre</w:t>
            </w:r>
          </w:p>
        </w:tc>
        <w:tc>
          <w:tcPr>
            <w:tcW w:w="1843" w:type="dxa"/>
            <w:shd w:val="clear" w:color="auto" w:fill="auto"/>
          </w:tcPr>
          <w:p w:rsidR="00472A16" w:rsidRPr="007E1683" w:rsidRDefault="00CF328E" w:rsidP="00F76C61">
            <w:pPr>
              <w:jc w:val="right"/>
              <w:rPr>
                <w:sz w:val="22"/>
                <w:szCs w:val="22"/>
              </w:rPr>
            </w:pPr>
            <w:r w:rsidRPr="007E1683">
              <w:rPr>
                <w:sz w:val="22"/>
                <w:szCs w:val="22"/>
              </w:rPr>
              <w:t>Yves Cohen</w:t>
            </w:r>
          </w:p>
        </w:tc>
        <w:tc>
          <w:tcPr>
            <w:tcW w:w="6626" w:type="dxa"/>
            <w:shd w:val="clear" w:color="auto" w:fill="auto"/>
          </w:tcPr>
          <w:p w:rsidR="00472A16" w:rsidRPr="007E1683" w:rsidRDefault="007E1683" w:rsidP="00472A16">
            <w:pPr>
              <w:widowControl w:val="0"/>
              <w:autoSpaceDE w:val="0"/>
              <w:autoSpaceDN w:val="0"/>
              <w:adjustRightInd w:val="0"/>
              <w:jc w:val="right"/>
              <w:rPr>
                <w:sz w:val="22"/>
                <w:szCs w:val="22"/>
              </w:rPr>
            </w:pPr>
            <w:r w:rsidRPr="007E1683">
              <w:rPr>
                <w:sz w:val="22"/>
                <w:szCs w:val="22"/>
              </w:rPr>
              <w:t xml:space="preserve">Diriger une entreprise </w:t>
            </w:r>
            <w:r w:rsidR="00D757D6" w:rsidRPr="007E1683">
              <w:rPr>
                <w:sz w:val="22"/>
                <w:szCs w:val="22"/>
              </w:rPr>
              <w:t>en France, aux États-Unis et en URSS dans les années 1930</w:t>
            </w:r>
            <w:r w:rsidRPr="007E1683">
              <w:rPr>
                <w:sz w:val="22"/>
                <w:szCs w:val="22"/>
              </w:rPr>
              <w:t> : comparaison et circulations</w:t>
            </w:r>
          </w:p>
        </w:tc>
      </w:tr>
      <w:tr w:rsidR="008E5F64" w:rsidRPr="007E1683" w:rsidTr="00A04E5D">
        <w:trPr>
          <w:trHeight w:val="531"/>
        </w:trPr>
        <w:tc>
          <w:tcPr>
            <w:tcW w:w="1384" w:type="dxa"/>
            <w:shd w:val="clear" w:color="auto" w:fill="auto"/>
            <w:vAlign w:val="center"/>
          </w:tcPr>
          <w:p w:rsidR="008E5F64" w:rsidRPr="007E1683" w:rsidRDefault="008E5F64" w:rsidP="00472A16">
            <w:pPr>
              <w:jc w:val="right"/>
              <w:rPr>
                <w:b/>
                <w:sz w:val="22"/>
                <w:szCs w:val="22"/>
              </w:rPr>
            </w:pPr>
            <w:r w:rsidRPr="007E1683">
              <w:rPr>
                <w:sz w:val="22"/>
                <w:szCs w:val="22"/>
              </w:rPr>
              <w:t xml:space="preserve">6 janvier </w:t>
            </w:r>
            <w:r w:rsidRPr="007E1683">
              <w:rPr>
                <w:b/>
                <w:sz w:val="22"/>
                <w:szCs w:val="22"/>
              </w:rPr>
              <w:t>2015</w:t>
            </w:r>
          </w:p>
        </w:tc>
        <w:tc>
          <w:tcPr>
            <w:tcW w:w="1843" w:type="dxa"/>
            <w:shd w:val="clear" w:color="auto" w:fill="auto"/>
            <w:vAlign w:val="center"/>
          </w:tcPr>
          <w:p w:rsidR="008E5F64" w:rsidRPr="007E1683" w:rsidRDefault="008E5F64" w:rsidP="00472A16">
            <w:pPr>
              <w:jc w:val="right"/>
              <w:rPr>
                <w:sz w:val="22"/>
                <w:szCs w:val="22"/>
              </w:rPr>
            </w:pPr>
            <w:r w:rsidRPr="007E1683">
              <w:rPr>
                <w:sz w:val="22"/>
                <w:szCs w:val="22"/>
              </w:rPr>
              <w:t xml:space="preserve">Didier </w:t>
            </w:r>
            <w:proofErr w:type="spellStart"/>
            <w:r w:rsidRPr="007E1683">
              <w:rPr>
                <w:sz w:val="22"/>
                <w:szCs w:val="22"/>
              </w:rPr>
              <w:t>Bensadon</w:t>
            </w:r>
            <w:proofErr w:type="spellEnd"/>
          </w:p>
        </w:tc>
        <w:tc>
          <w:tcPr>
            <w:tcW w:w="6626" w:type="dxa"/>
            <w:shd w:val="clear" w:color="auto" w:fill="auto"/>
            <w:vAlign w:val="center"/>
          </w:tcPr>
          <w:p w:rsidR="008E5F64" w:rsidRPr="007E1683" w:rsidRDefault="00A04E5D" w:rsidP="00A04E5D">
            <w:pPr>
              <w:jc w:val="right"/>
              <w:rPr>
                <w:sz w:val="22"/>
                <w:szCs w:val="22"/>
              </w:rPr>
            </w:pPr>
            <w:r w:rsidRPr="007E1683">
              <w:rPr>
                <w:sz w:val="22"/>
                <w:szCs w:val="22"/>
              </w:rPr>
              <w:t>Histoire de la comptabilité : les comptes de groupes de sociétés en France (1929-1985)</w:t>
            </w:r>
          </w:p>
        </w:tc>
      </w:tr>
      <w:tr w:rsidR="008E5F64" w:rsidRPr="007E1683" w:rsidTr="00A04E5D">
        <w:trPr>
          <w:trHeight w:val="385"/>
        </w:trPr>
        <w:tc>
          <w:tcPr>
            <w:tcW w:w="1384" w:type="dxa"/>
            <w:shd w:val="clear" w:color="auto" w:fill="auto"/>
            <w:vAlign w:val="center"/>
          </w:tcPr>
          <w:p w:rsidR="008E5F64" w:rsidRPr="007E1683" w:rsidRDefault="008E5F64" w:rsidP="004B1DED">
            <w:pPr>
              <w:jc w:val="right"/>
              <w:rPr>
                <w:sz w:val="22"/>
                <w:szCs w:val="22"/>
              </w:rPr>
            </w:pPr>
            <w:r w:rsidRPr="007E1683">
              <w:rPr>
                <w:sz w:val="22"/>
                <w:szCs w:val="22"/>
              </w:rPr>
              <w:t xml:space="preserve">13 janvier </w:t>
            </w:r>
          </w:p>
        </w:tc>
        <w:tc>
          <w:tcPr>
            <w:tcW w:w="1843" w:type="dxa"/>
            <w:shd w:val="clear" w:color="auto" w:fill="auto"/>
            <w:vAlign w:val="center"/>
          </w:tcPr>
          <w:p w:rsidR="008E5F64" w:rsidRPr="007E1683" w:rsidRDefault="00A04E5D" w:rsidP="00AD49DD">
            <w:pPr>
              <w:jc w:val="right"/>
              <w:rPr>
                <w:sz w:val="22"/>
                <w:szCs w:val="22"/>
              </w:rPr>
            </w:pPr>
            <w:proofErr w:type="spellStart"/>
            <w:r w:rsidRPr="007E1683">
              <w:rPr>
                <w:sz w:val="22"/>
                <w:szCs w:val="22"/>
              </w:rPr>
              <w:t>Ferruccio</w:t>
            </w:r>
            <w:proofErr w:type="spellEnd"/>
            <w:r w:rsidRPr="007E1683">
              <w:rPr>
                <w:sz w:val="22"/>
                <w:szCs w:val="22"/>
              </w:rPr>
              <w:t xml:space="preserve"> </w:t>
            </w:r>
            <w:proofErr w:type="spellStart"/>
            <w:r w:rsidRPr="007E1683">
              <w:rPr>
                <w:sz w:val="22"/>
                <w:szCs w:val="22"/>
              </w:rPr>
              <w:t>Ricciardi</w:t>
            </w:r>
            <w:proofErr w:type="spellEnd"/>
          </w:p>
        </w:tc>
        <w:tc>
          <w:tcPr>
            <w:tcW w:w="6626" w:type="dxa"/>
            <w:shd w:val="clear" w:color="auto" w:fill="auto"/>
            <w:vAlign w:val="center"/>
          </w:tcPr>
          <w:p w:rsidR="008E5F64" w:rsidRPr="007E1683" w:rsidRDefault="00A04E5D" w:rsidP="008E5F64">
            <w:pPr>
              <w:jc w:val="right"/>
              <w:rPr>
                <w:sz w:val="22"/>
                <w:szCs w:val="22"/>
              </w:rPr>
            </w:pPr>
            <w:r w:rsidRPr="007E1683">
              <w:rPr>
                <w:sz w:val="22"/>
                <w:szCs w:val="22"/>
              </w:rPr>
              <w:t>Le management de l'exclusion. Race et genre dans les savoirs et pratiques d'organisation I</w:t>
            </w:r>
          </w:p>
        </w:tc>
      </w:tr>
      <w:tr w:rsidR="00A04E5D" w:rsidRPr="007E1683" w:rsidTr="00A04E5D">
        <w:trPr>
          <w:trHeight w:val="385"/>
        </w:trPr>
        <w:tc>
          <w:tcPr>
            <w:tcW w:w="1384" w:type="dxa"/>
            <w:shd w:val="clear" w:color="auto" w:fill="auto"/>
            <w:vAlign w:val="center"/>
          </w:tcPr>
          <w:p w:rsidR="00A04E5D" w:rsidRPr="007E1683" w:rsidRDefault="00A04E5D" w:rsidP="00472A16">
            <w:pPr>
              <w:jc w:val="right"/>
              <w:rPr>
                <w:sz w:val="22"/>
                <w:szCs w:val="22"/>
              </w:rPr>
            </w:pPr>
            <w:r w:rsidRPr="007E1683">
              <w:rPr>
                <w:sz w:val="22"/>
                <w:szCs w:val="22"/>
              </w:rPr>
              <w:t>20 janvier</w:t>
            </w:r>
          </w:p>
        </w:tc>
        <w:tc>
          <w:tcPr>
            <w:tcW w:w="1843" w:type="dxa"/>
            <w:vMerge w:val="restart"/>
            <w:shd w:val="clear" w:color="auto" w:fill="auto"/>
          </w:tcPr>
          <w:p w:rsidR="00A04E5D" w:rsidRPr="007E1683" w:rsidRDefault="00A04E5D" w:rsidP="00472A16">
            <w:pPr>
              <w:jc w:val="right"/>
              <w:rPr>
                <w:sz w:val="22"/>
                <w:szCs w:val="22"/>
                <w:lang w:val="it-IT"/>
              </w:rPr>
            </w:pPr>
          </w:p>
          <w:p w:rsidR="00A04E5D" w:rsidRPr="007E1683" w:rsidRDefault="00A04E5D" w:rsidP="00472A16">
            <w:pPr>
              <w:jc w:val="right"/>
              <w:rPr>
                <w:sz w:val="22"/>
                <w:szCs w:val="22"/>
              </w:rPr>
            </w:pPr>
            <w:r w:rsidRPr="007E1683">
              <w:rPr>
                <w:sz w:val="22"/>
                <w:szCs w:val="22"/>
                <w:lang w:val="it-IT"/>
              </w:rPr>
              <w:t>Paolo Napoli</w:t>
            </w:r>
          </w:p>
        </w:tc>
        <w:tc>
          <w:tcPr>
            <w:tcW w:w="6626" w:type="dxa"/>
            <w:vMerge w:val="restart"/>
            <w:shd w:val="clear" w:color="auto" w:fill="auto"/>
          </w:tcPr>
          <w:p w:rsidR="00A04E5D" w:rsidRPr="007E1683" w:rsidRDefault="00A04E5D" w:rsidP="00472A16">
            <w:pPr>
              <w:jc w:val="right"/>
              <w:rPr>
                <w:sz w:val="22"/>
                <w:szCs w:val="22"/>
              </w:rPr>
            </w:pPr>
          </w:p>
          <w:p w:rsidR="00A04E5D" w:rsidRPr="007E1683" w:rsidRDefault="00A04E5D" w:rsidP="00472A16">
            <w:pPr>
              <w:jc w:val="right"/>
              <w:rPr>
                <w:sz w:val="22"/>
                <w:szCs w:val="22"/>
              </w:rPr>
            </w:pPr>
            <w:r w:rsidRPr="007E1683">
              <w:rPr>
                <w:sz w:val="22"/>
                <w:szCs w:val="22"/>
              </w:rPr>
              <w:t>Le charisme: nouvelles d'hier et d'aujourd'hui</w:t>
            </w:r>
          </w:p>
        </w:tc>
      </w:tr>
      <w:tr w:rsidR="00A04E5D" w:rsidRPr="007E1683" w:rsidTr="00A04E5D">
        <w:trPr>
          <w:trHeight w:val="385"/>
        </w:trPr>
        <w:tc>
          <w:tcPr>
            <w:tcW w:w="1384" w:type="dxa"/>
            <w:shd w:val="clear" w:color="auto" w:fill="auto"/>
            <w:vAlign w:val="center"/>
          </w:tcPr>
          <w:p w:rsidR="00A04E5D" w:rsidRPr="007E1683" w:rsidRDefault="00A04E5D" w:rsidP="004B1DED">
            <w:pPr>
              <w:jc w:val="right"/>
              <w:rPr>
                <w:sz w:val="22"/>
                <w:szCs w:val="22"/>
              </w:rPr>
            </w:pPr>
            <w:r w:rsidRPr="007E1683">
              <w:rPr>
                <w:sz w:val="22"/>
                <w:szCs w:val="22"/>
              </w:rPr>
              <w:t>27 janvier</w:t>
            </w:r>
          </w:p>
        </w:tc>
        <w:tc>
          <w:tcPr>
            <w:tcW w:w="1843" w:type="dxa"/>
            <w:vMerge/>
            <w:shd w:val="clear" w:color="auto" w:fill="auto"/>
          </w:tcPr>
          <w:p w:rsidR="00A04E5D" w:rsidRPr="007E1683" w:rsidRDefault="00A04E5D" w:rsidP="00472A16">
            <w:pPr>
              <w:jc w:val="right"/>
              <w:rPr>
                <w:sz w:val="22"/>
                <w:szCs w:val="22"/>
                <w:lang w:val="it-IT"/>
              </w:rPr>
            </w:pPr>
          </w:p>
        </w:tc>
        <w:tc>
          <w:tcPr>
            <w:tcW w:w="6626" w:type="dxa"/>
            <w:vMerge/>
            <w:shd w:val="clear" w:color="auto" w:fill="auto"/>
          </w:tcPr>
          <w:p w:rsidR="00A04E5D" w:rsidRPr="007E1683" w:rsidRDefault="00A04E5D" w:rsidP="00472A16">
            <w:pPr>
              <w:jc w:val="right"/>
              <w:rPr>
                <w:sz w:val="22"/>
                <w:szCs w:val="22"/>
              </w:rPr>
            </w:pPr>
          </w:p>
        </w:tc>
      </w:tr>
      <w:tr w:rsidR="008E5F64" w:rsidRPr="007E1683" w:rsidTr="00A04E5D">
        <w:trPr>
          <w:trHeight w:val="735"/>
        </w:trPr>
        <w:tc>
          <w:tcPr>
            <w:tcW w:w="1384" w:type="dxa"/>
            <w:shd w:val="clear" w:color="auto" w:fill="auto"/>
            <w:vAlign w:val="center"/>
          </w:tcPr>
          <w:p w:rsidR="008E5F64" w:rsidRPr="007E1683" w:rsidRDefault="008E5F64" w:rsidP="00472A16">
            <w:pPr>
              <w:jc w:val="right"/>
              <w:rPr>
                <w:sz w:val="22"/>
                <w:szCs w:val="22"/>
              </w:rPr>
            </w:pPr>
            <w:r w:rsidRPr="007E1683">
              <w:rPr>
                <w:sz w:val="22"/>
                <w:szCs w:val="22"/>
              </w:rPr>
              <w:t xml:space="preserve">3 février </w:t>
            </w:r>
          </w:p>
        </w:tc>
        <w:tc>
          <w:tcPr>
            <w:tcW w:w="1843" w:type="dxa"/>
            <w:shd w:val="clear" w:color="auto" w:fill="auto"/>
            <w:vAlign w:val="center"/>
          </w:tcPr>
          <w:p w:rsidR="008E5F64" w:rsidRPr="007E1683" w:rsidRDefault="008E5F64" w:rsidP="00472A16">
            <w:pPr>
              <w:jc w:val="right"/>
              <w:rPr>
                <w:sz w:val="22"/>
                <w:szCs w:val="22"/>
              </w:rPr>
            </w:pPr>
            <w:proofErr w:type="spellStart"/>
            <w:r w:rsidRPr="007E1683">
              <w:rPr>
                <w:sz w:val="22"/>
                <w:szCs w:val="22"/>
              </w:rPr>
              <w:t>Ferruccio</w:t>
            </w:r>
            <w:proofErr w:type="spellEnd"/>
            <w:r w:rsidRPr="007E1683">
              <w:rPr>
                <w:sz w:val="22"/>
                <w:szCs w:val="22"/>
              </w:rPr>
              <w:t xml:space="preserve"> </w:t>
            </w:r>
            <w:proofErr w:type="spellStart"/>
            <w:r w:rsidRPr="007E1683">
              <w:rPr>
                <w:sz w:val="22"/>
                <w:szCs w:val="22"/>
              </w:rPr>
              <w:t>Ricciardi</w:t>
            </w:r>
            <w:proofErr w:type="spellEnd"/>
          </w:p>
        </w:tc>
        <w:tc>
          <w:tcPr>
            <w:tcW w:w="6626" w:type="dxa"/>
            <w:shd w:val="clear" w:color="auto" w:fill="auto"/>
            <w:vAlign w:val="center"/>
          </w:tcPr>
          <w:p w:rsidR="008E5F64" w:rsidRPr="007E1683" w:rsidRDefault="00A04E5D" w:rsidP="0014509C">
            <w:pPr>
              <w:suppressAutoHyphens w:val="0"/>
              <w:jc w:val="right"/>
              <w:rPr>
                <w:iCs/>
                <w:sz w:val="22"/>
                <w:szCs w:val="22"/>
              </w:rPr>
            </w:pPr>
            <w:r w:rsidRPr="007E1683">
              <w:rPr>
                <w:sz w:val="22"/>
                <w:szCs w:val="22"/>
              </w:rPr>
              <w:t>Le management de l'exclusion. Race et genre dans les savoirs et pratiques d'organisation II</w:t>
            </w:r>
          </w:p>
        </w:tc>
      </w:tr>
      <w:tr w:rsidR="008E5F64" w:rsidRPr="007E1683" w:rsidTr="00A04E5D">
        <w:trPr>
          <w:trHeight w:val="384"/>
        </w:trPr>
        <w:tc>
          <w:tcPr>
            <w:tcW w:w="1384" w:type="dxa"/>
            <w:shd w:val="clear" w:color="auto" w:fill="auto"/>
            <w:vAlign w:val="center"/>
          </w:tcPr>
          <w:p w:rsidR="008E5F64" w:rsidRPr="007E1683" w:rsidRDefault="008E5F64" w:rsidP="00472A16">
            <w:pPr>
              <w:jc w:val="right"/>
              <w:rPr>
                <w:b/>
                <w:bCs/>
                <w:sz w:val="22"/>
                <w:szCs w:val="22"/>
              </w:rPr>
            </w:pPr>
            <w:r w:rsidRPr="007E1683">
              <w:rPr>
                <w:sz w:val="22"/>
                <w:szCs w:val="22"/>
              </w:rPr>
              <w:t>10 février</w:t>
            </w:r>
          </w:p>
        </w:tc>
        <w:tc>
          <w:tcPr>
            <w:tcW w:w="1843" w:type="dxa"/>
            <w:shd w:val="clear" w:color="auto" w:fill="auto"/>
            <w:vAlign w:val="center"/>
          </w:tcPr>
          <w:p w:rsidR="00CF328E" w:rsidRPr="007E1683" w:rsidRDefault="008E5F64" w:rsidP="00102BBB">
            <w:pPr>
              <w:jc w:val="right"/>
              <w:rPr>
                <w:sz w:val="22"/>
                <w:szCs w:val="22"/>
              </w:rPr>
            </w:pPr>
            <w:r w:rsidRPr="007E1683">
              <w:rPr>
                <w:sz w:val="22"/>
                <w:szCs w:val="22"/>
              </w:rPr>
              <w:t xml:space="preserve">Valérie </w:t>
            </w:r>
            <w:proofErr w:type="spellStart"/>
            <w:r w:rsidRPr="007E1683">
              <w:rPr>
                <w:sz w:val="22"/>
                <w:szCs w:val="22"/>
              </w:rPr>
              <w:t>Boussard</w:t>
            </w:r>
            <w:proofErr w:type="spellEnd"/>
            <w:r w:rsidRPr="007E1683">
              <w:rPr>
                <w:sz w:val="22"/>
                <w:szCs w:val="22"/>
              </w:rPr>
              <w:t xml:space="preserve"> </w:t>
            </w:r>
          </w:p>
          <w:p w:rsidR="008E5F64" w:rsidRPr="007E1683" w:rsidRDefault="008E5F64" w:rsidP="00102BBB">
            <w:pPr>
              <w:jc w:val="right"/>
              <w:rPr>
                <w:sz w:val="22"/>
                <w:szCs w:val="22"/>
              </w:rPr>
            </w:pPr>
            <w:r w:rsidRPr="007E1683">
              <w:rPr>
                <w:sz w:val="22"/>
                <w:szCs w:val="22"/>
              </w:rPr>
              <w:t>+ YC et FR</w:t>
            </w:r>
          </w:p>
        </w:tc>
        <w:tc>
          <w:tcPr>
            <w:tcW w:w="6626" w:type="dxa"/>
            <w:shd w:val="clear" w:color="auto" w:fill="auto"/>
            <w:vAlign w:val="center"/>
          </w:tcPr>
          <w:p w:rsidR="008E5F64" w:rsidRPr="007E1683" w:rsidRDefault="008E5F64" w:rsidP="00472A16">
            <w:pPr>
              <w:jc w:val="right"/>
              <w:rPr>
                <w:sz w:val="22"/>
                <w:szCs w:val="22"/>
              </w:rPr>
            </w:pPr>
            <w:r w:rsidRPr="007E1683">
              <w:rPr>
                <w:rFonts w:cs="Times-Roman"/>
                <w:sz w:val="22"/>
                <w:szCs w:val="22"/>
                <w:lang w:bidi="fr-FR"/>
              </w:rPr>
              <w:t>Trajectoires de dispositifs de gestion et trajectoires professionnelles II</w:t>
            </w:r>
          </w:p>
          <w:p w:rsidR="008E5F64" w:rsidRPr="007E1683" w:rsidRDefault="008E5F64" w:rsidP="00472A16">
            <w:pPr>
              <w:jc w:val="right"/>
              <w:rPr>
                <w:sz w:val="22"/>
                <w:szCs w:val="22"/>
              </w:rPr>
            </w:pPr>
            <w:r w:rsidRPr="007E1683">
              <w:rPr>
                <w:sz w:val="22"/>
                <w:szCs w:val="22"/>
              </w:rPr>
              <w:t>+ conclusion générale de l’enseignement</w:t>
            </w:r>
          </w:p>
        </w:tc>
      </w:tr>
    </w:tbl>
    <w:p w:rsidR="00472A16" w:rsidRPr="0014509C" w:rsidRDefault="005126F8">
      <w:pPr>
        <w:jc w:val="center"/>
        <w:rPr>
          <w:sz w:val="22"/>
          <w:szCs w:val="22"/>
        </w:rPr>
      </w:pPr>
      <w:r w:rsidRPr="0014509C">
        <w:rPr>
          <w:sz w:val="22"/>
          <w:szCs w:val="22"/>
        </w:rPr>
        <w:t>L’enseignement admet des étudiants de M1 et M2 tout comme des auditeurs libres de tous niveaux</w:t>
      </w:r>
    </w:p>
    <w:p w:rsidR="00A064D5" w:rsidRPr="00CF328E" w:rsidRDefault="005126F8" w:rsidP="00CF328E">
      <w:pPr>
        <w:jc w:val="center"/>
        <w:rPr>
          <w:sz w:val="22"/>
          <w:szCs w:val="22"/>
        </w:rPr>
      </w:pPr>
      <w:r w:rsidRPr="0014509C">
        <w:rPr>
          <w:sz w:val="22"/>
          <w:szCs w:val="22"/>
        </w:rPr>
        <w:t xml:space="preserve">Pour toute autre information : </w:t>
      </w:r>
      <w:hyperlink r:id="rId6" w:history="1">
        <w:r w:rsidRPr="0014509C">
          <w:rPr>
            <w:rStyle w:val="Lienhypertexte"/>
            <w:rFonts w:cs="Garamond"/>
            <w:sz w:val="22"/>
            <w:szCs w:val="22"/>
          </w:rPr>
          <w:t>yvecohen@free.fr</w:t>
        </w:r>
      </w:hyperlink>
      <w:r w:rsidRPr="0014509C">
        <w:rPr>
          <w:sz w:val="22"/>
          <w:szCs w:val="22"/>
        </w:rPr>
        <w:t xml:space="preserve"> ou </w:t>
      </w:r>
      <w:hyperlink r:id="rId7" w:history="1">
        <w:r w:rsidRPr="0014509C">
          <w:rPr>
            <w:rStyle w:val="Lienhypertexte"/>
            <w:sz w:val="22"/>
            <w:szCs w:val="22"/>
          </w:rPr>
          <w:t>ferricciardi@yahoo.fr</w:t>
        </w:r>
      </w:hyperlink>
      <w:r w:rsidRPr="0014509C">
        <w:rPr>
          <w:sz w:val="22"/>
          <w:szCs w:val="22"/>
        </w:rPr>
        <w:t xml:space="preserve"> </w:t>
      </w:r>
    </w:p>
    <w:sectPr w:rsidR="00A064D5" w:rsidRPr="00CF328E" w:rsidSect="005B6C64">
      <w:headerReference w:type="default" r:id="rId8"/>
      <w:pgSz w:w="11905" w:h="16837"/>
      <w:pgMar w:top="1134" w:right="1134" w:bottom="1134"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72F" w:rsidRDefault="00F6372F">
      <w:r>
        <w:separator/>
      </w:r>
    </w:p>
  </w:endnote>
  <w:endnote w:type="continuationSeparator" w:id="0">
    <w:p w:rsidR="00F6372F" w:rsidRDefault="00F63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72F" w:rsidRDefault="00F6372F">
      <w:r>
        <w:separator/>
      </w:r>
    </w:p>
  </w:footnote>
  <w:footnote w:type="continuationSeparator" w:id="0">
    <w:p w:rsidR="00F6372F" w:rsidRDefault="00F63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8D" w:rsidRDefault="00C121D3">
    <w:pPr>
      <w:pStyle w:val="En-tte"/>
      <w:ind w:right="360"/>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97.05pt;margin-top:.05pt;width:41.45pt;height:25.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" stroked="f">
          <v:fill opacity="0"/>
          <v:textbox inset="0,0,0,0">
            <w:txbxContent>
              <w:p w:rsidR="0016148D" w:rsidRDefault="00C121D3">
                <w:pPr>
                  <w:pStyle w:val="En-tte"/>
                </w:pPr>
                <w:r>
                  <w:rPr>
                    <w:rStyle w:val="Numrodepage"/>
                  </w:rPr>
                  <w:fldChar w:fldCharType="begin"/>
                </w:r>
                <w:r w:rsidR="0016148D">
                  <w:rPr>
                    <w:rStyle w:val="Numrodepage"/>
                  </w:rPr>
                  <w:instrText xml:space="preserve"> PAGE </w:instrText>
                </w:r>
                <w:r>
                  <w:rPr>
                    <w:rStyle w:val="Numrodepage"/>
                  </w:rPr>
                  <w:fldChar w:fldCharType="separate"/>
                </w:r>
                <w:r w:rsidR="00CF328E">
                  <w:rPr>
                    <w:rStyle w:val="Numrodepage"/>
                    <w:noProof/>
                  </w:rPr>
                  <w:t>2</w:t>
                </w:r>
                <w:r>
                  <w:rPr>
                    <w:rStyle w:val="Numrodepage"/>
                  </w:rPr>
                  <w:fldChar w:fldCharType="end"/>
                </w:r>
              </w:p>
            </w:txbxContent>
          </v:textbox>
          <w10:wrap type="square" side="largest" anchorx="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E11E27"/>
    <w:rsid w:val="0005661C"/>
    <w:rsid w:val="000B572F"/>
    <w:rsid w:val="000C3660"/>
    <w:rsid w:val="000D03A7"/>
    <w:rsid w:val="000E5A3D"/>
    <w:rsid w:val="00102BBB"/>
    <w:rsid w:val="0014509C"/>
    <w:rsid w:val="0016148D"/>
    <w:rsid w:val="00210779"/>
    <w:rsid w:val="002956D5"/>
    <w:rsid w:val="003A41D0"/>
    <w:rsid w:val="00454B3C"/>
    <w:rsid w:val="00462785"/>
    <w:rsid w:val="00472A16"/>
    <w:rsid w:val="00485D67"/>
    <w:rsid w:val="004B1DED"/>
    <w:rsid w:val="004D0C6C"/>
    <w:rsid w:val="005126F8"/>
    <w:rsid w:val="00577488"/>
    <w:rsid w:val="00582EED"/>
    <w:rsid w:val="005B2C7D"/>
    <w:rsid w:val="005B6C64"/>
    <w:rsid w:val="005C46D3"/>
    <w:rsid w:val="006E3038"/>
    <w:rsid w:val="007552B1"/>
    <w:rsid w:val="007810FE"/>
    <w:rsid w:val="007E1683"/>
    <w:rsid w:val="008B6C3C"/>
    <w:rsid w:val="008E5F64"/>
    <w:rsid w:val="009404AF"/>
    <w:rsid w:val="00987813"/>
    <w:rsid w:val="00992FEB"/>
    <w:rsid w:val="00A04E5D"/>
    <w:rsid w:val="00A064D5"/>
    <w:rsid w:val="00A509C8"/>
    <w:rsid w:val="00A63733"/>
    <w:rsid w:val="00A850F0"/>
    <w:rsid w:val="00AF3890"/>
    <w:rsid w:val="00C01BD9"/>
    <w:rsid w:val="00C121D3"/>
    <w:rsid w:val="00C32EFF"/>
    <w:rsid w:val="00CC0917"/>
    <w:rsid w:val="00CF148A"/>
    <w:rsid w:val="00CF328E"/>
    <w:rsid w:val="00D61D9A"/>
    <w:rsid w:val="00D757D6"/>
    <w:rsid w:val="00E11E27"/>
    <w:rsid w:val="00E805F3"/>
    <w:rsid w:val="00EE5193"/>
    <w:rsid w:val="00EE771D"/>
    <w:rsid w:val="00F21171"/>
    <w:rsid w:val="00F2694A"/>
    <w:rsid w:val="00F530AD"/>
    <w:rsid w:val="00F6372F"/>
    <w:rsid w:val="00F76C61"/>
    <w:rsid w:val="00F875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E8"/>
    <w:pPr>
      <w:suppressAutoHyphens/>
      <w:jc w:val="both"/>
    </w:pPr>
    <w:rPr>
      <w:rFonts w:ascii="Garamond" w:hAnsi="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F1CE8"/>
  </w:style>
  <w:style w:type="character" w:styleId="Lienhypertexte">
    <w:name w:val="Hyperlink"/>
    <w:rsid w:val="002F1CE8"/>
    <w:rPr>
      <w:color w:val="0000FF"/>
      <w:u w:val="single"/>
    </w:rPr>
  </w:style>
  <w:style w:type="paragraph" w:styleId="Titre">
    <w:name w:val="Title"/>
    <w:basedOn w:val="Normal"/>
    <w:next w:val="Sous-titre"/>
    <w:qFormat/>
    <w:rsid w:val="002F1CE8"/>
    <w:pPr>
      <w:spacing w:after="360"/>
      <w:jc w:val="center"/>
    </w:pPr>
    <w:rPr>
      <w:b/>
      <w:caps/>
      <w:kern w:val="1"/>
      <w:sz w:val="28"/>
    </w:rPr>
  </w:style>
  <w:style w:type="paragraph" w:styleId="En-tte">
    <w:name w:val="header"/>
    <w:basedOn w:val="Normal"/>
    <w:rsid w:val="002F1CE8"/>
    <w:pPr>
      <w:tabs>
        <w:tab w:val="center" w:pos="4536"/>
        <w:tab w:val="right" w:pos="9072"/>
      </w:tabs>
    </w:pPr>
  </w:style>
  <w:style w:type="paragraph" w:styleId="Sous-titre">
    <w:name w:val="Subtitle"/>
    <w:basedOn w:val="Normal"/>
    <w:qFormat/>
    <w:rsid w:val="002F1CE8"/>
    <w:pPr>
      <w:spacing w:after="60"/>
      <w:jc w:val="center"/>
      <w:outlineLvl w:val="1"/>
    </w:pPr>
    <w:rPr>
      <w:rFonts w:ascii="Arial" w:hAnsi="Arial"/>
    </w:rPr>
  </w:style>
  <w:style w:type="paragraph" w:styleId="PrformatHTML">
    <w:name w:val="HTML Preformatted"/>
    <w:basedOn w:val="Normal"/>
    <w:link w:val="PrformatHTMLCar"/>
    <w:uiPriority w:val="99"/>
    <w:unhideWhenUsed/>
    <w:rsid w:val="00A06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A064D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E8"/>
    <w:pPr>
      <w:suppressAutoHyphens/>
      <w:jc w:val="both"/>
    </w:pPr>
    <w:rPr>
      <w:rFonts w:ascii="Garamond" w:hAnsi="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F1CE8"/>
  </w:style>
  <w:style w:type="character" w:styleId="Lienhypertexte">
    <w:name w:val="Hyperlink"/>
    <w:rsid w:val="002F1CE8"/>
    <w:rPr>
      <w:color w:val="0000FF"/>
      <w:u w:val="single"/>
    </w:rPr>
  </w:style>
  <w:style w:type="paragraph" w:styleId="Titre">
    <w:name w:val="Title"/>
    <w:basedOn w:val="Normal"/>
    <w:next w:val="Sous-titre"/>
    <w:qFormat/>
    <w:rsid w:val="002F1CE8"/>
    <w:pPr>
      <w:spacing w:after="360"/>
      <w:jc w:val="center"/>
    </w:pPr>
    <w:rPr>
      <w:b/>
      <w:caps/>
      <w:kern w:val="1"/>
      <w:sz w:val="28"/>
    </w:rPr>
  </w:style>
  <w:style w:type="paragraph" w:styleId="En-tte">
    <w:name w:val="header"/>
    <w:basedOn w:val="Normal"/>
    <w:rsid w:val="002F1CE8"/>
    <w:pPr>
      <w:tabs>
        <w:tab w:val="center" w:pos="4536"/>
        <w:tab w:val="right" w:pos="9072"/>
      </w:tabs>
    </w:pPr>
  </w:style>
  <w:style w:type="paragraph" w:styleId="Sous-titre">
    <w:name w:val="Subtitle"/>
    <w:basedOn w:val="Normal"/>
    <w:qFormat/>
    <w:rsid w:val="002F1CE8"/>
    <w:pPr>
      <w:spacing w:after="60"/>
      <w:jc w:val="center"/>
      <w:outlineLvl w:val="1"/>
    </w:pPr>
    <w:rPr>
      <w:rFonts w:ascii="Arial" w:hAnsi="Arial"/>
    </w:rPr>
  </w:style>
  <w:style w:type="paragraph" w:styleId="PrformatHTML">
    <w:name w:val="HTML Preformatted"/>
    <w:basedOn w:val="Normal"/>
    <w:link w:val="PrformatHTMLCar"/>
    <w:uiPriority w:val="99"/>
    <w:unhideWhenUsed/>
    <w:rsid w:val="00A06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A064D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46920681">
      <w:bodyDiv w:val="1"/>
      <w:marLeft w:val="0"/>
      <w:marRight w:val="0"/>
      <w:marTop w:val="0"/>
      <w:marBottom w:val="0"/>
      <w:divBdr>
        <w:top w:val="none" w:sz="0" w:space="0" w:color="auto"/>
        <w:left w:val="none" w:sz="0" w:space="0" w:color="auto"/>
        <w:bottom w:val="none" w:sz="0" w:space="0" w:color="auto"/>
        <w:right w:val="none" w:sz="0" w:space="0" w:color="auto"/>
      </w:divBdr>
    </w:div>
    <w:div w:id="2093156002">
      <w:bodyDiv w:val="1"/>
      <w:marLeft w:val="0"/>
      <w:marRight w:val="0"/>
      <w:marTop w:val="0"/>
      <w:marBottom w:val="0"/>
      <w:divBdr>
        <w:top w:val="none" w:sz="0" w:space="0" w:color="auto"/>
        <w:left w:val="none" w:sz="0" w:space="0" w:color="auto"/>
        <w:bottom w:val="none" w:sz="0" w:space="0" w:color="auto"/>
        <w:right w:val="none" w:sz="0" w:space="0" w:color="auto"/>
      </w:divBdr>
    </w:div>
    <w:div w:id="2122331958">
      <w:bodyDiv w:val="1"/>
      <w:marLeft w:val="0"/>
      <w:marRight w:val="0"/>
      <w:marTop w:val="0"/>
      <w:marBottom w:val="0"/>
      <w:divBdr>
        <w:top w:val="none" w:sz="0" w:space="0" w:color="auto"/>
        <w:left w:val="none" w:sz="0" w:space="0" w:color="auto"/>
        <w:bottom w:val="none" w:sz="0" w:space="0" w:color="auto"/>
        <w:right w:val="none" w:sz="0" w:space="0" w:color="auto"/>
      </w:divBdr>
      <w:divsChild>
        <w:div w:id="326517781">
          <w:marLeft w:val="0"/>
          <w:marRight w:val="0"/>
          <w:marTop w:val="0"/>
          <w:marBottom w:val="0"/>
          <w:divBdr>
            <w:top w:val="none" w:sz="0" w:space="0" w:color="auto"/>
            <w:left w:val="none" w:sz="0" w:space="0" w:color="auto"/>
            <w:bottom w:val="none" w:sz="0" w:space="0" w:color="auto"/>
            <w:right w:val="none" w:sz="0" w:space="0" w:color="auto"/>
          </w:divBdr>
        </w:div>
        <w:div w:id="2125735022">
          <w:marLeft w:val="0"/>
          <w:marRight w:val="0"/>
          <w:marTop w:val="0"/>
          <w:marBottom w:val="0"/>
          <w:divBdr>
            <w:top w:val="none" w:sz="0" w:space="0" w:color="auto"/>
            <w:left w:val="none" w:sz="0" w:space="0" w:color="auto"/>
            <w:bottom w:val="none" w:sz="0" w:space="0" w:color="auto"/>
            <w:right w:val="none" w:sz="0" w:space="0" w:color="auto"/>
          </w:divBdr>
        </w:div>
        <w:div w:id="403142692">
          <w:marLeft w:val="0"/>
          <w:marRight w:val="0"/>
          <w:marTop w:val="0"/>
          <w:marBottom w:val="0"/>
          <w:divBdr>
            <w:top w:val="none" w:sz="0" w:space="0" w:color="auto"/>
            <w:left w:val="none" w:sz="0" w:space="0" w:color="auto"/>
            <w:bottom w:val="none" w:sz="0" w:space="0" w:color="auto"/>
            <w:right w:val="none" w:sz="0" w:space="0" w:color="auto"/>
          </w:divBdr>
        </w:div>
        <w:div w:id="788162243">
          <w:marLeft w:val="0"/>
          <w:marRight w:val="0"/>
          <w:marTop w:val="0"/>
          <w:marBottom w:val="0"/>
          <w:divBdr>
            <w:top w:val="none" w:sz="0" w:space="0" w:color="auto"/>
            <w:left w:val="none" w:sz="0" w:space="0" w:color="auto"/>
            <w:bottom w:val="none" w:sz="0" w:space="0" w:color="auto"/>
            <w:right w:val="none" w:sz="0" w:space="0" w:color="auto"/>
          </w:divBdr>
        </w:div>
        <w:div w:id="188471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erricciardi@yah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vecohen@free.fr"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2781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HISTOIRE ET TECHNIQUES DES ORGANISATIONS ET DU GOUVERNEMENT</vt:lpstr>
    </vt:vector>
  </TitlesOfParts>
  <Company/>
  <LinksUpToDate>false</LinksUpToDate>
  <CharactersWithSpaces>3280</CharactersWithSpaces>
  <SharedDoc>false</SharedDoc>
  <HLinks>
    <vt:vector size="12" baseType="variant">
      <vt:variant>
        <vt:i4>5505131</vt:i4>
      </vt:variant>
      <vt:variant>
        <vt:i4>3</vt:i4>
      </vt:variant>
      <vt:variant>
        <vt:i4>0</vt:i4>
      </vt:variant>
      <vt:variant>
        <vt:i4>5</vt:i4>
      </vt:variant>
      <vt:variant>
        <vt:lpwstr>mailto:ferricciardi@yahoo.fr</vt:lpwstr>
      </vt:variant>
      <vt:variant>
        <vt:lpwstr/>
      </vt:variant>
      <vt:variant>
        <vt:i4>393285</vt:i4>
      </vt:variant>
      <vt:variant>
        <vt:i4>0</vt:i4>
      </vt:variant>
      <vt:variant>
        <vt:i4>0</vt:i4>
      </vt:variant>
      <vt:variant>
        <vt:i4>5</vt:i4>
      </vt:variant>
      <vt:variant>
        <vt:lpwstr>mailto:yvecohen@free.fr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ET TECHNIQUES DES ORGANISATIONS ET DU GOUVERNEMENT</dc:title>
  <dc:creator>Ferruccio Ricciardi</dc:creator>
  <cp:lastModifiedBy>Invite</cp:lastModifiedBy>
  <cp:revision>4</cp:revision>
  <cp:lastPrinted>2014-11-03T14:51:00Z</cp:lastPrinted>
  <dcterms:created xsi:type="dcterms:W3CDTF">2014-11-03T13:31:00Z</dcterms:created>
  <dcterms:modified xsi:type="dcterms:W3CDTF">2014-11-03T14:53:00Z</dcterms:modified>
</cp:coreProperties>
</file>