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spacing w:after="200" w:line="360" w:lineRule="auto"/>
        <w:contextualSpacing w:val="0"/>
        <w:jc w:val="center"/>
        <w:rPr/>
      </w:pPr>
      <w:r w:rsidDel="00000000" w:rsidR="00000000" w:rsidRPr="00000000">
        <w:rPr>
          <w:rtl w:val="0"/>
        </w:rPr>
        <w:t xml:space="preserve">Normes éditoriales</w:t>
      </w:r>
    </w:p>
    <w:p w:rsidR="00000000" w:rsidDel="00000000" w:rsidP="00000000" w:rsidRDefault="00000000" w:rsidRPr="00000000">
      <w:pPr>
        <w:pStyle w:val="Heading1"/>
        <w:pBdr/>
        <w:spacing w:before="0" w:line="360" w:lineRule="auto"/>
        <w:contextualSpacing w:val="0"/>
        <w:jc w:val="center"/>
        <w:rPr>
          <w:i w:val="1"/>
          <w:sz w:val="32"/>
          <w:szCs w:val="32"/>
        </w:rPr>
      </w:pPr>
      <w:r w:rsidDel="00000000" w:rsidR="00000000" w:rsidRPr="00000000">
        <w:rPr>
          <w:i w:val="1"/>
          <w:sz w:val="32"/>
          <w:szCs w:val="32"/>
          <w:rtl w:val="0"/>
        </w:rPr>
        <w:t xml:space="preserve">Rusca</w:t>
      </w:r>
    </w:p>
    <w:p w:rsidR="00000000" w:rsidDel="00000000" w:rsidP="00000000" w:rsidRDefault="00000000" w:rsidRPr="00000000">
      <w:pPr>
        <w:pStyle w:val="Heading1"/>
        <w:pBdr/>
        <w:spacing w:before="0" w:line="360" w:lineRule="auto"/>
        <w:contextualSpacing w:val="0"/>
        <w:jc w:val="center"/>
        <w:rPr>
          <w:i w:val="1"/>
          <w:sz w:val="32"/>
          <w:szCs w:val="32"/>
        </w:rPr>
      </w:pPr>
      <w:bookmarkStart w:colFirst="0" w:colLast="0" w:name="_2dv6jmlv5o1m" w:id="0"/>
      <w:bookmarkEnd w:id="0"/>
      <w:r w:rsidDel="00000000" w:rsidR="00000000" w:rsidRPr="00000000">
        <w:rPr>
          <w:i w:val="1"/>
          <w:sz w:val="32"/>
          <w:szCs w:val="32"/>
          <w:rtl w:val="0"/>
        </w:rPr>
        <w:t xml:space="preserve">Revue Électronique de Sciences Humaines et Sociales</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color w:val="4a86e8"/>
          <w:u w:val="single"/>
        </w:rPr>
      </w:pPr>
      <w:r w:rsidDel="00000000" w:rsidR="00000000" w:rsidRPr="00000000">
        <w:rPr>
          <w:rtl w:val="0"/>
        </w:rPr>
        <w:t xml:space="preserve">Nous contacter : </w:t>
      </w:r>
      <w:r w:rsidDel="00000000" w:rsidR="00000000" w:rsidRPr="00000000">
        <w:rPr>
          <w:color w:val="4a86e8"/>
          <w:u w:val="single"/>
          <w:rtl w:val="0"/>
        </w:rPr>
        <w:t xml:space="preserve">ruscamsh@gmail.com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rtl w:val="0"/>
        </w:rPr>
        <w:t xml:space="preserve">Police 12</w:t>
      </w:r>
      <w:r w:rsidDel="00000000" w:rsidR="00000000" w:rsidRPr="00000000">
        <w:rPr>
          <w:rtl w:val="0"/>
        </w:rPr>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Times New Roman</w:t>
      </w:r>
      <w:r w:rsidDel="00000000" w:rsidR="00000000" w:rsidRPr="00000000">
        <w:rPr>
          <w:rtl w:val="0"/>
        </w:rPr>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tl w:val="0"/>
        </w:rPr>
        <w:t xml:space="preserve">I</w:t>
      </w:r>
      <w:r w:rsidDel="00000000" w:rsidR="00000000" w:rsidRPr="00000000">
        <w:rPr>
          <w:rFonts w:ascii="Times New Roman" w:cs="Times New Roman" w:eastAsia="Times New Roman" w:hAnsi="Times New Roman"/>
          <w:b w:val="0"/>
          <w:sz w:val="24"/>
          <w:szCs w:val="24"/>
          <w:rtl w:val="0"/>
        </w:rPr>
        <w:t xml:space="preserve">nterligne 1,5</w:t>
      </w:r>
      <w:r w:rsidDel="00000000" w:rsidR="00000000" w:rsidRPr="00000000">
        <w:rPr>
          <w:rtl w:val="0"/>
        </w:rPr>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Guillemets français (</w:t>
      </w:r>
      <w:r w:rsidDel="00000000" w:rsidR="00000000" w:rsidRPr="00000000">
        <w:rPr>
          <w:rtl w:val="0"/>
        </w:rPr>
        <w:t xml:space="preserve">« … »</w:t>
      </w:r>
      <w:r w:rsidDel="00000000" w:rsidR="00000000" w:rsidRPr="00000000">
        <w:rPr>
          <w:rFonts w:ascii="Times New Roman" w:cs="Times New Roman" w:eastAsia="Times New Roman" w:hAnsi="Times New Roman"/>
          <w:b w:val="0"/>
          <w:sz w:val="24"/>
          <w:szCs w:val="24"/>
          <w:rtl w:val="0"/>
        </w:rPr>
        <w:t xml:space="preserve">), dans le cas de guillemets à l’intérieur d’une citation utiliser les guillemets anglais (</w:t>
      </w:r>
      <w:r w:rsidDel="00000000" w:rsidR="00000000" w:rsidRPr="00000000">
        <w:rPr>
          <w:rtl w:val="0"/>
        </w:rPr>
        <w:t xml:space="preserve">“...”)</w:t>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Saisir l’accentuation des majuscules : À, É, etc. </w:t>
      </w:r>
      <w:r w:rsidDel="00000000" w:rsidR="00000000" w:rsidRPr="00000000">
        <w:rPr>
          <w:rtl w:val="0"/>
        </w:rPr>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Les termes en langue étrangère en italiques et les expressions particulières en français entre guillemets</w:t>
      </w:r>
      <w:r w:rsidDel="00000000" w:rsidR="00000000" w:rsidRPr="00000000">
        <w:rPr>
          <w:rtl w:val="0"/>
        </w:rPr>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Pour indication des siècles en exposant : XX</w:t>
      </w:r>
      <w:r w:rsidDel="00000000" w:rsidR="00000000" w:rsidRPr="00000000">
        <w:rPr>
          <w:rFonts w:ascii="Times New Roman" w:cs="Times New Roman" w:eastAsia="Times New Roman" w:hAnsi="Times New Roman"/>
          <w:b w:val="0"/>
          <w:sz w:val="24"/>
          <w:szCs w:val="24"/>
          <w:vertAlign w:val="superscript"/>
          <w:rtl w:val="0"/>
        </w:rPr>
        <w:t xml:space="preserve">e</w:t>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tl w:val="0"/>
        </w:rPr>
        <w:t xml:space="preserve">Couper une citation : [...]</w:t>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Références dans le texte en notes de bas de page (continue)</w:t>
      </w:r>
    </w:p>
    <w:p w:rsidR="00000000" w:rsidDel="00000000" w:rsidP="00000000" w:rsidRDefault="00000000" w:rsidRPr="00000000">
      <w:pPr>
        <w:numPr>
          <w:ilvl w:val="0"/>
          <w:numId w:val="2"/>
        </w:numPr>
        <w:pBdr/>
        <w:spacing w:after="0" w:before="0" w:line="360" w:lineRule="auto"/>
        <w:ind w:left="720" w:hanging="360"/>
        <w:contextualSpacing w:val="1"/>
        <w:jc w:val="both"/>
        <w:rPr>
          <w:u w:val="none"/>
        </w:rPr>
      </w:pPr>
      <w:r w:rsidDel="00000000" w:rsidR="00000000" w:rsidRPr="00000000">
        <w:rPr>
          <w:rtl w:val="0"/>
        </w:rPr>
        <w:t xml:space="preserve">Retrait de 1 cm à gauche en début de chaque paragraphe et ceci à partir du seconde paragraphe de chaque partie</w:t>
      </w:r>
    </w:p>
    <w:p w:rsidR="00000000" w:rsidDel="00000000" w:rsidP="00000000" w:rsidRDefault="00000000" w:rsidRPr="00000000">
      <w:pPr>
        <w:numPr>
          <w:ilvl w:val="0"/>
          <w:numId w:val="2"/>
        </w:numPr>
        <w:pBdr/>
        <w:spacing w:after="0" w:before="0" w:line="360" w:lineRule="auto"/>
        <w:ind w:left="720" w:hanging="360"/>
        <w:contextualSpacing w:val="1"/>
        <w:jc w:val="both"/>
        <w:rPr>
          <w:u w:val="none"/>
        </w:rPr>
      </w:pPr>
      <w:r w:rsidDel="00000000" w:rsidR="00000000" w:rsidRPr="00000000">
        <w:rPr>
          <w:rtl w:val="0"/>
        </w:rPr>
        <w:t xml:space="preserve">Trois niveaux d’intertitre soit : </w:t>
      </w:r>
    </w:p>
    <w:p w:rsidR="00000000" w:rsidDel="00000000" w:rsidP="00000000" w:rsidRDefault="00000000" w:rsidRPr="00000000">
      <w:pPr>
        <w:pBdr/>
        <w:spacing w:after="0" w:before="0" w:line="360" w:lineRule="auto"/>
        <w:ind w:left="720" w:firstLine="720"/>
        <w:contextualSpacing w:val="0"/>
        <w:jc w:val="both"/>
        <w:rPr>
          <w:rFonts w:ascii="Cambria" w:cs="Cambria" w:eastAsia="Cambria" w:hAnsi="Cambria"/>
          <w:color w:val="4a86e8"/>
          <w:sz w:val="28"/>
          <w:szCs w:val="28"/>
        </w:rPr>
      </w:pPr>
      <w:r w:rsidDel="00000000" w:rsidR="00000000" w:rsidRPr="00000000">
        <w:rPr>
          <w:rFonts w:ascii="Cambria" w:cs="Cambria" w:eastAsia="Cambria" w:hAnsi="Cambria"/>
          <w:color w:val="4a86e8"/>
          <w:sz w:val="28"/>
          <w:szCs w:val="28"/>
          <w:rtl w:val="0"/>
        </w:rPr>
        <w:t xml:space="preserve">titre 1 : SOCIÉTÉ</w:t>
      </w:r>
    </w:p>
    <w:p w:rsidR="00000000" w:rsidDel="00000000" w:rsidP="00000000" w:rsidRDefault="00000000" w:rsidRPr="00000000">
      <w:pPr>
        <w:pBdr/>
        <w:spacing w:after="0" w:before="0" w:line="360" w:lineRule="auto"/>
        <w:ind w:left="720" w:firstLine="720"/>
        <w:contextualSpacing w:val="0"/>
        <w:jc w:val="both"/>
        <w:rPr>
          <w:rFonts w:ascii="Cambria" w:cs="Cambria" w:eastAsia="Cambria" w:hAnsi="Cambria"/>
          <w:b w:val="1"/>
          <w:color w:val="4a86e8"/>
        </w:rPr>
      </w:pPr>
      <w:r w:rsidDel="00000000" w:rsidR="00000000" w:rsidRPr="00000000">
        <w:rPr>
          <w:rFonts w:ascii="Cambria" w:cs="Cambria" w:eastAsia="Cambria" w:hAnsi="Cambria"/>
          <w:b w:val="1"/>
          <w:color w:val="4a86e8"/>
          <w:rtl w:val="0"/>
        </w:rPr>
        <w:t xml:space="preserve">titre 2 : Structures</w:t>
      </w:r>
      <w:r w:rsidDel="00000000" w:rsidR="00000000" w:rsidRPr="00000000">
        <w:rPr>
          <w:rtl w:val="0"/>
        </w:rPr>
      </w:r>
    </w:p>
    <w:p w:rsidR="00000000" w:rsidDel="00000000" w:rsidP="00000000" w:rsidRDefault="00000000" w:rsidRPr="00000000">
      <w:pPr>
        <w:pBdr/>
        <w:spacing w:after="0" w:before="0" w:line="360" w:lineRule="auto"/>
        <w:ind w:left="720" w:firstLine="720"/>
        <w:contextualSpacing w:val="0"/>
        <w:jc w:val="both"/>
        <w:rPr>
          <w:rFonts w:ascii="Cambria" w:cs="Cambria" w:eastAsia="Cambria" w:hAnsi="Cambria"/>
          <w:color w:val="4a86e8"/>
        </w:rPr>
      </w:pPr>
      <w:r w:rsidDel="00000000" w:rsidR="00000000" w:rsidRPr="00000000">
        <w:rPr>
          <w:rFonts w:ascii="Cambria" w:cs="Cambria" w:eastAsia="Cambria" w:hAnsi="Cambria"/>
          <w:i w:val="1"/>
          <w:color w:val="4a86e8"/>
          <w:rtl w:val="0"/>
        </w:rPr>
        <w:t xml:space="preserve">titre 3 : </w:t>
      </w:r>
      <w:r w:rsidDel="00000000" w:rsidR="00000000" w:rsidRPr="00000000">
        <w:rPr>
          <w:rFonts w:ascii="Cambria" w:cs="Cambria" w:eastAsia="Cambria" w:hAnsi="Cambria"/>
          <w:i w:val="1"/>
          <w:color w:val="4a86e8"/>
          <w:rtl w:val="0"/>
        </w:rPr>
        <w:t xml:space="preserve">Individus</w:t>
      </w: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u w:val="none"/>
        </w:rPr>
      </w:pPr>
      <w:r w:rsidDel="00000000" w:rsidR="00000000" w:rsidRPr="00000000">
        <w:rPr>
          <w:rtl w:val="0"/>
        </w:rPr>
        <w:t xml:space="preserve">Pour des citations de plus de 5 lignes : interligne simple, avec retrait gauche équivalent au retrait des début de paragraphes. Exemple :</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Une assimilation des couches les plus larges de cette société dans un conformisme supérieur. </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240" w:lineRule="auto"/>
        <w:ind w:left="848.0000000000002" w:firstLine="0"/>
        <w:contextualSpacing w:val="0"/>
        <w:rPr/>
      </w:pPr>
      <w:r w:rsidDel="00000000" w:rsidR="00000000" w:rsidRPr="00000000">
        <w:rPr>
          <w:rtl w:val="0"/>
        </w:rPr>
        <w:t xml:space="preserve">« Par sa conception personnelle du monde on appartient toujours à un regroupement  déterminé et précisément à celui de tous les éléments sociaux qui partagent un même mode de penser et d’opérer. On est les conformistes d’un conformisme quelconque, on est toujours hommes-masses ou hommes-collectifs. La question est la suivante : de quel type historique est le conformisme, l’homme-masse dont on fait parti ? Quand la conception du monde n’est pas critique et cohérente mais occasionnelle et désagrégée, on appartient simultanément à une multiplicité d’hommes-masse, la personnalité individuelle de chacun est composite de manière bizarre : se trouvent  en elle des éléments de l’homme des cavernes et des principes de la science la plus moderne et avancée, des préjugés de toutes les phases historiquement grossièrement localistes et des intuitions d’une philosophie à venir  telle que sera celle du genre humain unifié mondialement</w:t>
      </w:r>
      <w:r w:rsidDel="00000000" w:rsidR="00000000" w:rsidRPr="00000000">
        <w:rPr>
          <w:i w:val="1"/>
          <w:rtl w:val="0"/>
        </w:rPr>
        <w:t xml:space="preserve"> </w:t>
      </w:r>
      <w:r w:rsidDel="00000000" w:rsidR="00000000" w:rsidRPr="00000000">
        <w:rPr>
          <w:rtl w:val="0"/>
        </w:rPr>
        <w:t xml:space="preserve">» (</w:t>
      </w:r>
      <w:r w:rsidDel="00000000" w:rsidR="00000000" w:rsidRPr="00000000">
        <w:rPr>
          <w:i w:val="1"/>
          <w:rtl w:val="0"/>
        </w:rPr>
        <w:t xml:space="preserve">Q.11, 11, 1377</w:t>
      </w:r>
      <w:r w:rsidDel="00000000" w:rsidR="00000000" w:rsidRPr="00000000">
        <w:rPr>
          <w:rtl w:val="0"/>
        </w:rPr>
        <w:t xml:space="preserve">).</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ab/>
        <w:t xml:space="preserve"> Le sens commun des masses subalternes modernes est particulièrement divisé en ce qu’il est marqué par la non contemporanéité de ses éléments ;</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Indiquer la ville de l’auteur</w:t>
      </w:r>
      <w:r w:rsidDel="00000000" w:rsidR="00000000" w:rsidRPr="00000000">
        <w:rPr>
          <w:rtl w:val="0"/>
        </w:rPr>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Bibliographie :</w:t>
      </w:r>
      <w:r w:rsidDel="00000000" w:rsidR="00000000" w:rsidRPr="00000000">
        <w:rPr>
          <w:rtl w:val="0"/>
        </w:rPr>
      </w:r>
    </w:p>
    <w:p w:rsidR="00000000" w:rsidDel="00000000" w:rsidP="00000000" w:rsidRDefault="00000000" w:rsidRPr="00000000">
      <w:pPr>
        <w:numPr>
          <w:ilvl w:val="1"/>
          <w:numId w:val="2"/>
        </w:numPr>
        <w:pBdr/>
        <w:spacing w:after="0" w:before="0" w:line="360" w:lineRule="auto"/>
        <w:ind w:left="1440" w:hanging="360"/>
        <w:contextualSpacing w:val="1"/>
        <w:jc w:val="both"/>
        <w:rPr/>
      </w:pPr>
      <w:r w:rsidDel="00000000" w:rsidR="00000000" w:rsidRPr="00000000">
        <w:rPr>
          <w:rFonts w:ascii="Times New Roman" w:cs="Times New Roman" w:eastAsia="Times New Roman" w:hAnsi="Times New Roman"/>
          <w:b w:val="1"/>
          <w:sz w:val="24"/>
          <w:szCs w:val="24"/>
          <w:rtl w:val="0"/>
        </w:rPr>
        <w:t xml:space="preserve">Ouvrage : </w:t>
      </w:r>
      <w:r w:rsidDel="00000000" w:rsidR="00000000" w:rsidRPr="00000000">
        <w:rPr>
          <w:rFonts w:ascii="Times New Roman" w:cs="Times New Roman" w:eastAsia="Times New Roman" w:hAnsi="Times New Roman"/>
          <w:b w:val="0"/>
          <w:sz w:val="24"/>
          <w:szCs w:val="24"/>
          <w:rtl w:val="0"/>
        </w:rPr>
        <w:t xml:space="preserve">NOM P., </w:t>
      </w:r>
      <w:r w:rsidDel="00000000" w:rsidR="00000000" w:rsidRPr="00000000">
        <w:rPr>
          <w:rFonts w:ascii="Times New Roman" w:cs="Times New Roman" w:eastAsia="Times New Roman" w:hAnsi="Times New Roman"/>
          <w:b w:val="0"/>
          <w:i w:val="1"/>
          <w:sz w:val="24"/>
          <w:szCs w:val="24"/>
          <w:rtl w:val="0"/>
        </w:rPr>
        <w:t xml:space="preserve">Titre du livre</w:t>
      </w:r>
      <w:r w:rsidDel="00000000" w:rsidR="00000000" w:rsidRPr="00000000">
        <w:rPr>
          <w:rFonts w:ascii="Times New Roman" w:cs="Times New Roman" w:eastAsia="Times New Roman" w:hAnsi="Times New Roman"/>
          <w:b w:val="0"/>
          <w:sz w:val="24"/>
          <w:szCs w:val="24"/>
          <w:rtl w:val="0"/>
        </w:rPr>
        <w:t xml:space="preserve">, Paris, PUF, coll. « Autrement », 2005 (1912).</w:t>
      </w:r>
      <w:r w:rsidDel="00000000" w:rsidR="00000000" w:rsidRPr="00000000">
        <w:rPr>
          <w:rtl w:val="0"/>
        </w:rPr>
      </w:r>
    </w:p>
    <w:p w:rsidR="00000000" w:rsidDel="00000000" w:rsidP="00000000" w:rsidRDefault="00000000" w:rsidRPr="00000000">
      <w:pPr>
        <w:numPr>
          <w:ilvl w:val="1"/>
          <w:numId w:val="2"/>
        </w:numPr>
        <w:pBdr/>
        <w:spacing w:after="0" w:before="0" w:line="360" w:lineRule="auto"/>
        <w:ind w:left="1440" w:hanging="360"/>
        <w:contextualSpacing w:val="1"/>
        <w:jc w:val="both"/>
        <w:rPr/>
      </w:pPr>
      <w:bookmarkStart w:colFirst="0" w:colLast="0" w:name="_gjdgxs" w:id="1"/>
      <w:bookmarkEnd w:id="1"/>
      <w:r w:rsidDel="00000000" w:rsidR="00000000" w:rsidRPr="00000000">
        <w:rPr>
          <w:rFonts w:ascii="Times New Roman" w:cs="Times New Roman" w:eastAsia="Times New Roman" w:hAnsi="Times New Roman"/>
          <w:b w:val="1"/>
          <w:sz w:val="24"/>
          <w:szCs w:val="24"/>
          <w:rtl w:val="0"/>
        </w:rPr>
        <w:t xml:space="preserve">Chapitres </w:t>
      </w:r>
      <w:r w:rsidDel="00000000" w:rsidR="00000000" w:rsidRPr="00000000">
        <w:rPr>
          <w:b w:val="1"/>
          <w:rtl w:val="0"/>
        </w:rPr>
        <w:t xml:space="preserve">d’</w:t>
      </w:r>
      <w:r w:rsidDel="00000000" w:rsidR="00000000" w:rsidRPr="00000000">
        <w:rPr>
          <w:rFonts w:ascii="Times New Roman" w:cs="Times New Roman" w:eastAsia="Times New Roman" w:hAnsi="Times New Roman"/>
          <w:b w:val="1"/>
          <w:sz w:val="24"/>
          <w:szCs w:val="24"/>
          <w:rtl w:val="0"/>
        </w:rPr>
        <w:t xml:space="preserve">ouvrage : </w:t>
      </w:r>
      <w:r w:rsidDel="00000000" w:rsidR="00000000" w:rsidRPr="00000000">
        <w:rPr>
          <w:rFonts w:ascii="Times New Roman" w:cs="Times New Roman" w:eastAsia="Times New Roman" w:hAnsi="Times New Roman"/>
          <w:b w:val="0"/>
          <w:sz w:val="24"/>
          <w:szCs w:val="24"/>
          <w:rtl w:val="0"/>
        </w:rPr>
        <w:t xml:space="preserve">NOM P., « titre de l’article », </w:t>
      </w:r>
      <w:r w:rsidDel="00000000" w:rsidR="00000000" w:rsidRPr="00000000">
        <w:rPr>
          <w:rFonts w:ascii="Times New Roman" w:cs="Times New Roman" w:eastAsia="Times New Roman" w:hAnsi="Times New Roman"/>
          <w:b w:val="0"/>
          <w:i w:val="1"/>
          <w:sz w:val="24"/>
          <w:szCs w:val="24"/>
          <w:rtl w:val="0"/>
        </w:rPr>
        <w:t xml:space="preserve">in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Le titre de l’ouvrage</w:t>
      </w:r>
      <w:r w:rsidDel="00000000" w:rsidR="00000000" w:rsidRPr="00000000">
        <w:rPr>
          <w:rFonts w:ascii="Times New Roman" w:cs="Times New Roman" w:eastAsia="Times New Roman" w:hAnsi="Times New Roman"/>
          <w:b w:val="0"/>
          <w:sz w:val="24"/>
          <w:szCs w:val="24"/>
          <w:rtl w:val="0"/>
        </w:rPr>
        <w:t xml:space="preserve">, Paris, PUF, coll. « autrement », 2005 (1912).</w:t>
      </w:r>
      <w:r w:rsidDel="00000000" w:rsidR="00000000" w:rsidRPr="00000000">
        <w:rPr>
          <w:rtl w:val="0"/>
        </w:rPr>
      </w:r>
    </w:p>
    <w:p w:rsidR="00000000" w:rsidDel="00000000" w:rsidP="00000000" w:rsidRDefault="00000000" w:rsidRPr="00000000">
      <w:pPr>
        <w:numPr>
          <w:ilvl w:val="1"/>
          <w:numId w:val="2"/>
        </w:numPr>
        <w:pBdr/>
        <w:spacing w:after="0" w:before="0" w:line="360" w:lineRule="auto"/>
        <w:ind w:left="1440" w:hanging="360"/>
        <w:contextualSpacing w:val="1"/>
        <w:jc w:val="both"/>
        <w:rPr/>
      </w:pPr>
      <w:r w:rsidDel="00000000" w:rsidR="00000000" w:rsidRPr="00000000">
        <w:rPr>
          <w:rFonts w:ascii="Times New Roman" w:cs="Times New Roman" w:eastAsia="Times New Roman" w:hAnsi="Times New Roman"/>
          <w:b w:val="1"/>
          <w:sz w:val="24"/>
          <w:szCs w:val="24"/>
          <w:rtl w:val="0"/>
        </w:rPr>
        <w:t xml:space="preserve">Ouvrages du même auteur :</w:t>
      </w:r>
      <w:r w:rsidDel="00000000" w:rsidR="00000000" w:rsidRPr="00000000">
        <w:rPr>
          <w:rFonts w:ascii="Times New Roman" w:cs="Times New Roman" w:eastAsia="Times New Roman" w:hAnsi="Times New Roman"/>
          <w:b w:val="0"/>
          <w:sz w:val="24"/>
          <w:szCs w:val="24"/>
          <w:rtl w:val="0"/>
        </w:rPr>
        <w:t xml:space="preserve"> ID., </w:t>
      </w:r>
      <w:r w:rsidDel="00000000" w:rsidR="00000000" w:rsidRPr="00000000">
        <w:rPr>
          <w:rFonts w:ascii="Times New Roman" w:cs="Times New Roman" w:eastAsia="Times New Roman" w:hAnsi="Times New Roman"/>
          <w:b w:val="0"/>
          <w:i w:val="1"/>
          <w:sz w:val="24"/>
          <w:szCs w:val="24"/>
          <w:rtl w:val="0"/>
        </w:rPr>
        <w:t xml:space="preserve">Titre</w:t>
      </w:r>
      <w:r w:rsidDel="00000000" w:rsidR="00000000" w:rsidRPr="00000000">
        <w:rPr>
          <w:rFonts w:ascii="Times New Roman" w:cs="Times New Roman" w:eastAsia="Times New Roman" w:hAnsi="Times New Roman"/>
          <w:b w:val="0"/>
          <w:sz w:val="24"/>
          <w:szCs w:val="24"/>
          <w:rtl w:val="0"/>
        </w:rPr>
        <w:t xml:space="preserve">, Paris, PUF, coll. « Autrement », 2005 (1912).</w:t>
      </w:r>
      <w:r w:rsidDel="00000000" w:rsidR="00000000" w:rsidRPr="00000000">
        <w:rPr>
          <w:rtl w:val="0"/>
        </w:rPr>
      </w:r>
    </w:p>
    <w:p w:rsidR="00000000" w:rsidDel="00000000" w:rsidP="00000000" w:rsidRDefault="00000000" w:rsidRPr="00000000">
      <w:pPr>
        <w:numPr>
          <w:ilvl w:val="1"/>
          <w:numId w:val="2"/>
        </w:numPr>
        <w:pBdr/>
        <w:spacing w:after="0" w:before="0" w:line="360" w:lineRule="auto"/>
        <w:ind w:left="1440" w:hanging="360"/>
        <w:contextualSpacing w:val="1"/>
        <w:jc w:val="both"/>
        <w:rPr/>
      </w:pPr>
      <w:r w:rsidDel="00000000" w:rsidR="00000000" w:rsidRPr="00000000">
        <w:rPr>
          <w:rFonts w:ascii="Times New Roman" w:cs="Times New Roman" w:eastAsia="Times New Roman" w:hAnsi="Times New Roman"/>
          <w:b w:val="1"/>
          <w:sz w:val="24"/>
          <w:szCs w:val="24"/>
          <w:rtl w:val="0"/>
        </w:rPr>
        <w:t xml:space="preserve">Ouvrage collectif : </w:t>
      </w:r>
      <w:r w:rsidDel="00000000" w:rsidR="00000000" w:rsidRPr="00000000">
        <w:rPr>
          <w:rFonts w:ascii="Times New Roman" w:cs="Times New Roman" w:eastAsia="Times New Roman" w:hAnsi="Times New Roman"/>
          <w:b w:val="0"/>
          <w:sz w:val="24"/>
          <w:szCs w:val="24"/>
          <w:rtl w:val="0"/>
        </w:rPr>
        <w:t xml:space="preserve">NOM P. (dir.), </w:t>
      </w:r>
      <w:r w:rsidDel="00000000" w:rsidR="00000000" w:rsidRPr="00000000">
        <w:rPr>
          <w:rFonts w:ascii="Times New Roman" w:cs="Times New Roman" w:eastAsia="Times New Roman" w:hAnsi="Times New Roman"/>
          <w:b w:val="0"/>
          <w:i w:val="1"/>
          <w:sz w:val="24"/>
          <w:szCs w:val="24"/>
          <w:rtl w:val="0"/>
        </w:rPr>
        <w:t xml:space="preserve">Titre du livre</w:t>
      </w:r>
      <w:r w:rsidDel="00000000" w:rsidR="00000000" w:rsidRPr="00000000">
        <w:rPr>
          <w:rFonts w:ascii="Times New Roman" w:cs="Times New Roman" w:eastAsia="Times New Roman" w:hAnsi="Times New Roman"/>
          <w:b w:val="0"/>
          <w:sz w:val="24"/>
          <w:szCs w:val="24"/>
          <w:rtl w:val="0"/>
        </w:rPr>
        <w:t xml:space="preserve">, Paris, PUF, coll. « autrement », 2005 (1912).</w:t>
      </w:r>
      <w:r w:rsidDel="00000000" w:rsidR="00000000" w:rsidRPr="00000000">
        <w:rPr>
          <w:rtl w:val="0"/>
        </w:rPr>
      </w:r>
    </w:p>
    <w:p w:rsidR="00000000" w:rsidDel="00000000" w:rsidP="00000000" w:rsidRDefault="00000000" w:rsidRPr="00000000">
      <w:pPr>
        <w:numPr>
          <w:ilvl w:val="1"/>
          <w:numId w:val="2"/>
        </w:numPr>
        <w:pBdr/>
        <w:spacing w:after="0" w:before="0" w:line="360" w:lineRule="auto"/>
        <w:ind w:left="1440" w:hanging="360"/>
        <w:contextualSpacing w:val="1"/>
        <w:jc w:val="both"/>
        <w:rPr/>
      </w:pPr>
      <w:r w:rsidDel="00000000" w:rsidR="00000000" w:rsidRPr="00000000">
        <w:rPr>
          <w:rFonts w:ascii="Times New Roman" w:cs="Times New Roman" w:eastAsia="Times New Roman" w:hAnsi="Times New Roman"/>
          <w:b w:val="1"/>
          <w:sz w:val="24"/>
          <w:szCs w:val="24"/>
          <w:rtl w:val="0"/>
        </w:rPr>
        <w:t xml:space="preserve">Article :</w:t>
      </w:r>
      <w:r w:rsidDel="00000000" w:rsidR="00000000" w:rsidRPr="00000000">
        <w:rPr>
          <w:rFonts w:ascii="Times New Roman" w:cs="Times New Roman" w:eastAsia="Times New Roman" w:hAnsi="Times New Roman"/>
          <w:b w:val="0"/>
          <w:sz w:val="24"/>
          <w:szCs w:val="24"/>
          <w:rtl w:val="0"/>
        </w:rPr>
        <w:t xml:space="preserve"> NOM P., « titre de l’article », </w:t>
      </w:r>
      <w:r w:rsidDel="00000000" w:rsidR="00000000" w:rsidRPr="00000000">
        <w:rPr>
          <w:rFonts w:ascii="Times New Roman" w:cs="Times New Roman" w:eastAsia="Times New Roman" w:hAnsi="Times New Roman"/>
          <w:b w:val="0"/>
          <w:i w:val="1"/>
          <w:sz w:val="24"/>
          <w:szCs w:val="24"/>
          <w:rtl w:val="0"/>
        </w:rPr>
        <w:t xml:space="preserve">in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Le titre de la revue</w:t>
      </w:r>
      <w:r w:rsidDel="00000000" w:rsidR="00000000" w:rsidRPr="00000000">
        <w:rPr>
          <w:rFonts w:ascii="Times New Roman" w:cs="Times New Roman" w:eastAsia="Times New Roman" w:hAnsi="Times New Roman"/>
          <w:b w:val="0"/>
          <w:sz w:val="24"/>
          <w:szCs w:val="24"/>
          <w:rtl w:val="0"/>
        </w:rPr>
        <w:t xml:space="preserve">, n° 7, 2005, pp. 25-35.</w:t>
      </w:r>
      <w:r w:rsidDel="00000000" w:rsidR="00000000" w:rsidRPr="00000000">
        <w:rPr>
          <w:rtl w:val="0"/>
        </w:rPr>
      </w:r>
    </w:p>
    <w:p w:rsidR="00000000" w:rsidDel="00000000" w:rsidP="00000000" w:rsidRDefault="00000000" w:rsidRPr="00000000">
      <w:pPr>
        <w:numPr>
          <w:ilvl w:val="1"/>
          <w:numId w:val="2"/>
        </w:numPr>
        <w:pBdr/>
        <w:spacing w:after="0" w:before="0" w:line="360" w:lineRule="auto"/>
        <w:ind w:left="1440" w:hanging="360"/>
        <w:contextualSpacing w:val="1"/>
        <w:jc w:val="both"/>
        <w:rPr>
          <w:b w:val="1"/>
        </w:rPr>
      </w:pPr>
      <w:r w:rsidDel="00000000" w:rsidR="00000000" w:rsidRPr="00000000">
        <w:rPr>
          <w:b w:val="1"/>
          <w:rtl w:val="0"/>
        </w:rPr>
        <w:t xml:space="preserve">Réf. électronique : </w:t>
      </w:r>
      <w:r w:rsidDel="00000000" w:rsidR="00000000" w:rsidRPr="00000000">
        <w:rPr>
          <w:rtl w:val="0"/>
        </w:rPr>
        <w:t xml:space="preserve"> </w:t>
      </w:r>
    </w:p>
    <w:p w:rsidR="00000000" w:rsidDel="00000000" w:rsidP="00000000" w:rsidRDefault="00000000" w:rsidRPr="00000000">
      <w:pPr>
        <w:pBdr/>
        <w:spacing w:after="0" w:before="0" w:line="360" w:lineRule="auto"/>
        <w:ind w:left="720" w:firstLine="0"/>
        <w:contextualSpacing w:val="0"/>
        <w:rPr/>
      </w:pPr>
      <w:hyperlink r:id="rId5">
        <w:r w:rsidDel="00000000" w:rsidR="00000000" w:rsidRPr="00000000">
          <w:rPr>
            <w:color w:val="1155cc"/>
            <w:u w:val="single"/>
            <w:rtl w:val="0"/>
          </w:rPr>
          <w:t xml:space="preserve">https://www.cairn.info/revue-societes-2013-3-page-5.htm</w:t>
        </w:r>
      </w:hyperlink>
      <w:r w:rsidDel="00000000" w:rsidR="00000000" w:rsidRPr="00000000">
        <w:rPr>
          <w:rtl w:val="0"/>
        </w:rPr>
        <w:t xml:space="preserve">. </w:t>
      </w:r>
    </w:p>
    <w:p w:rsidR="00000000" w:rsidDel="00000000" w:rsidP="00000000" w:rsidRDefault="00000000" w:rsidRPr="00000000">
      <w:pPr>
        <w:pBdr/>
        <w:spacing w:after="0" w:before="0" w:line="360" w:lineRule="auto"/>
        <w:ind w:left="720" w:firstLine="0"/>
        <w:contextualSpacing w:val="0"/>
        <w:rPr/>
      </w:pPr>
      <w:hyperlink r:id="rId6">
        <w:r w:rsidDel="00000000" w:rsidR="00000000" w:rsidRPr="00000000">
          <w:rPr>
            <w:color w:val="1155cc"/>
            <w:u w:val="single"/>
            <w:rtl w:val="0"/>
          </w:rPr>
          <w:t xml:space="preserve">http://www.msh-m.fr/le-numerique/edition-en-ligne/rusca/rusca-territoires-temps-societes/les-numeros-108/numero-6-alterite/article/varia-camille-tarot-sacre-objectif</w:t>
        </w:r>
      </w:hyperlink>
      <w:r w:rsidDel="00000000" w:rsidR="00000000" w:rsidRPr="00000000">
        <w:rPr>
          <w:rtl w:val="0"/>
        </w:rPr>
        <w:t xml:space="preserve">, (consulté le 30 janv. 17).</w:t>
      </w:r>
      <w:r w:rsidDel="00000000" w:rsidR="00000000" w:rsidRPr="00000000">
        <w:rPr>
          <w:rtl w:val="0"/>
        </w:rPr>
      </w:r>
    </w:p>
    <w:p w:rsidR="00000000" w:rsidDel="00000000" w:rsidP="00000000" w:rsidRDefault="00000000" w:rsidRPr="00000000">
      <w:pPr>
        <w:pBdr/>
        <w:spacing w:after="0" w:before="0" w:line="36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2"/>
        </w:numPr>
        <w:pBdr/>
        <w:spacing w:after="0" w:before="0" w:line="36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Notes de bas de page</w:t>
      </w:r>
      <w:r w:rsidDel="00000000" w:rsidR="00000000" w:rsidRPr="00000000">
        <w:rPr>
          <w:rtl w:val="0"/>
        </w:rPr>
      </w:r>
    </w:p>
    <w:p w:rsidR="00000000" w:rsidDel="00000000" w:rsidP="00000000" w:rsidRDefault="00000000" w:rsidRPr="00000000">
      <w:pPr>
        <w:numPr>
          <w:ilvl w:val="1"/>
          <w:numId w:val="2"/>
        </w:numPr>
        <w:pBdr/>
        <w:spacing w:after="0" w:before="0" w:line="360" w:lineRule="auto"/>
        <w:ind w:left="144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NOM P., </w:t>
      </w:r>
      <w:r w:rsidDel="00000000" w:rsidR="00000000" w:rsidRPr="00000000">
        <w:rPr>
          <w:rFonts w:ascii="Times New Roman" w:cs="Times New Roman" w:eastAsia="Times New Roman" w:hAnsi="Times New Roman"/>
          <w:b w:val="0"/>
          <w:i w:val="1"/>
          <w:sz w:val="24"/>
          <w:szCs w:val="24"/>
          <w:rtl w:val="0"/>
        </w:rPr>
        <w:t xml:space="preserve">Titre du livre</w:t>
      </w:r>
      <w:r w:rsidDel="00000000" w:rsidR="00000000" w:rsidRPr="00000000">
        <w:rPr>
          <w:rFonts w:ascii="Times New Roman" w:cs="Times New Roman" w:eastAsia="Times New Roman" w:hAnsi="Times New Roman"/>
          <w:b w:val="0"/>
          <w:sz w:val="24"/>
          <w:szCs w:val="24"/>
          <w:rtl w:val="0"/>
        </w:rPr>
        <w:t xml:space="preserve">, Paris, PUF, coll. « autrement », 2005 (1912), p. 34.</w:t>
      </w:r>
      <w:r w:rsidDel="00000000" w:rsidR="00000000" w:rsidRPr="00000000">
        <w:rPr>
          <w:rtl w:val="0"/>
        </w:rPr>
      </w:r>
    </w:p>
    <w:p w:rsidR="00000000" w:rsidDel="00000000" w:rsidP="00000000" w:rsidRDefault="00000000" w:rsidRPr="00000000">
      <w:pPr>
        <w:numPr>
          <w:ilvl w:val="1"/>
          <w:numId w:val="2"/>
        </w:numPr>
        <w:pBdr/>
        <w:spacing w:after="0" w:before="0" w:line="360" w:lineRule="auto"/>
        <w:ind w:left="144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Pour la suite : NOM P., </w:t>
      </w:r>
      <w:r w:rsidDel="00000000" w:rsidR="00000000" w:rsidRPr="00000000">
        <w:rPr>
          <w:rFonts w:ascii="Times New Roman" w:cs="Times New Roman" w:eastAsia="Times New Roman" w:hAnsi="Times New Roman"/>
          <w:b w:val="0"/>
          <w:i w:val="1"/>
          <w:sz w:val="24"/>
          <w:szCs w:val="24"/>
          <w:rtl w:val="0"/>
        </w:rPr>
        <w:t xml:space="preserve">Titre du livre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Op. Cit.</w:t>
      </w:r>
      <w:r w:rsidDel="00000000" w:rsidR="00000000" w:rsidRPr="00000000">
        <w:rPr>
          <w:rFonts w:ascii="Times New Roman" w:cs="Times New Roman" w:eastAsia="Times New Roman" w:hAnsi="Times New Roman"/>
          <w:b w:val="0"/>
          <w:sz w:val="24"/>
          <w:szCs w:val="24"/>
          <w:rtl w:val="0"/>
        </w:rPr>
        <w:t xml:space="preserve">, p. 34.</w:t>
      </w:r>
      <w:r w:rsidDel="00000000" w:rsidR="00000000" w:rsidRPr="00000000">
        <w:rPr>
          <w:rtl w:val="0"/>
        </w:rPr>
      </w:r>
    </w:p>
    <w:p w:rsidR="00000000" w:rsidDel="00000000" w:rsidP="00000000" w:rsidRDefault="00000000" w:rsidRPr="00000000">
      <w:pPr>
        <w:numPr>
          <w:ilvl w:val="1"/>
          <w:numId w:val="2"/>
        </w:numPr>
        <w:pBdr/>
        <w:spacing w:after="0" w:before="0" w:line="360" w:lineRule="auto"/>
        <w:ind w:left="1440" w:hanging="360"/>
        <w:contextualSpacing w:val="1"/>
        <w:jc w:val="both"/>
        <w:rPr/>
      </w:pPr>
      <w:r w:rsidDel="00000000" w:rsidR="00000000" w:rsidRPr="00000000">
        <w:rPr>
          <w:rFonts w:ascii="Times New Roman" w:cs="Times New Roman" w:eastAsia="Times New Roman" w:hAnsi="Times New Roman"/>
          <w:b w:val="0"/>
          <w:i w:val="1"/>
          <w:sz w:val="24"/>
          <w:szCs w:val="24"/>
          <w:rtl w:val="0"/>
        </w:rPr>
        <w:t xml:space="preserve">Idem</w:t>
      </w:r>
      <w:r w:rsidDel="00000000" w:rsidR="00000000" w:rsidRPr="00000000">
        <w:rPr>
          <w:rFonts w:ascii="Times New Roman" w:cs="Times New Roman" w:eastAsia="Times New Roman" w:hAnsi="Times New Roman"/>
          <w:b w:val="0"/>
          <w:sz w:val="24"/>
          <w:szCs w:val="24"/>
          <w:rtl w:val="0"/>
        </w:rPr>
        <w:t xml:space="preserve">, p. 54.</w:t>
      </w:r>
      <w:r w:rsidDel="00000000" w:rsidR="00000000" w:rsidRPr="00000000">
        <w:rPr>
          <w:rtl w:val="0"/>
        </w:rPr>
      </w:r>
    </w:p>
    <w:p w:rsidR="00000000" w:rsidDel="00000000" w:rsidP="00000000" w:rsidRDefault="00000000" w:rsidRPr="00000000">
      <w:pPr>
        <w:numPr>
          <w:ilvl w:val="1"/>
          <w:numId w:val="2"/>
        </w:numPr>
        <w:pBdr/>
        <w:spacing w:after="200" w:before="0" w:line="360" w:lineRule="auto"/>
        <w:ind w:left="1440" w:hanging="360"/>
        <w:contextualSpacing w:val="1"/>
        <w:jc w:val="both"/>
        <w:rPr/>
      </w:pPr>
      <w:r w:rsidDel="00000000" w:rsidR="00000000" w:rsidRPr="00000000">
        <w:rPr>
          <w:rFonts w:ascii="Times New Roman" w:cs="Times New Roman" w:eastAsia="Times New Roman" w:hAnsi="Times New Roman"/>
          <w:b w:val="0"/>
          <w:i w:val="1"/>
          <w:sz w:val="24"/>
          <w:szCs w:val="24"/>
          <w:rtl w:val="0"/>
        </w:rPr>
        <w:t xml:space="preserve">Ibidem. </w:t>
      </w:r>
      <w:r w:rsidDel="00000000" w:rsidR="00000000" w:rsidRPr="00000000">
        <w:rPr>
          <w:rFonts w:ascii="Times New Roman" w:cs="Times New Roman" w:eastAsia="Times New Roman" w:hAnsi="Times New Roman"/>
          <w:b w:val="0"/>
          <w:sz w:val="24"/>
          <w:szCs w:val="24"/>
          <w:rtl w:val="0"/>
        </w:rPr>
        <w:t xml:space="preserve">(Quand il s’agit exactement de la même page citée)</w:t>
      </w:r>
    </w:p>
    <w:p w:rsidR="00000000" w:rsidDel="00000000" w:rsidP="00000000" w:rsidRDefault="00000000" w:rsidRPr="00000000">
      <w:pPr>
        <w:numPr>
          <w:ilvl w:val="1"/>
          <w:numId w:val="2"/>
        </w:numPr>
        <w:pBdr/>
        <w:spacing w:after="0" w:lineRule="auto"/>
        <w:ind w:left="1440" w:hanging="360"/>
        <w:contextualSpacing w:val="1"/>
        <w:rPr/>
      </w:pPr>
      <w:r w:rsidDel="00000000" w:rsidR="00000000" w:rsidRPr="00000000">
        <w:rPr>
          <w:rtl w:val="0"/>
        </w:rPr>
        <w:t xml:space="preserve">Réf. électronique :  </w:t>
      </w:r>
    </w:p>
    <w:p w:rsidR="00000000" w:rsidDel="00000000" w:rsidP="00000000" w:rsidRDefault="00000000" w:rsidRPr="00000000">
      <w:pPr>
        <w:pBdr/>
        <w:spacing w:after="0" w:lineRule="auto"/>
        <w:ind w:left="720" w:firstLine="0"/>
        <w:contextualSpacing w:val="0"/>
        <w:rPr/>
      </w:pPr>
      <w:hyperlink r:id="rId7">
        <w:r w:rsidDel="00000000" w:rsidR="00000000" w:rsidRPr="00000000">
          <w:rPr>
            <w:color w:val="1155cc"/>
            <w:u w:val="single"/>
            <w:rtl w:val="0"/>
          </w:rPr>
          <w:t xml:space="preserve">https://www.cairn.info/revue-societes-2013-3-page-5.htm</w:t>
        </w:r>
      </w:hyperlink>
      <w:r w:rsidDel="00000000" w:rsidR="00000000" w:rsidRPr="00000000">
        <w:rPr>
          <w:rtl w:val="0"/>
        </w:rPr>
        <w:t xml:space="preserve">. </w:t>
      </w:r>
    </w:p>
    <w:p w:rsidR="00000000" w:rsidDel="00000000" w:rsidP="00000000" w:rsidRDefault="00000000" w:rsidRPr="00000000">
      <w:pPr>
        <w:pBdr/>
        <w:spacing w:after="0" w:lineRule="auto"/>
        <w:ind w:left="720" w:firstLine="0"/>
        <w:contextualSpacing w:val="0"/>
        <w:rPr/>
      </w:pPr>
      <w:hyperlink r:id="rId8">
        <w:r w:rsidDel="00000000" w:rsidR="00000000" w:rsidRPr="00000000">
          <w:rPr>
            <w:color w:val="1155cc"/>
            <w:u w:val="single"/>
            <w:rtl w:val="0"/>
          </w:rPr>
          <w:t xml:space="preserve">http://www.msh-m.fr/le-numerique/edition-en-ligne/rusca/rusca-territoires-temps-societes/les-numeros-108/numero-6-alterite/article/varia-camille-tarot-sacre-objectif</w:t>
        </w:r>
      </w:hyperlink>
      <w:r w:rsidDel="00000000" w:rsidR="00000000" w:rsidRPr="00000000">
        <w:rPr>
          <w:rtl w:val="0"/>
        </w:rPr>
        <w:t xml:space="preserve">, (consulté le 30 janv. 17).</w:t>
      </w:r>
    </w:p>
    <w:p w:rsidR="00000000" w:rsidDel="00000000" w:rsidP="00000000" w:rsidRDefault="00000000" w:rsidRPr="00000000">
      <w:pPr>
        <w:pBdr/>
        <w:spacing w:after="0" w:lineRule="auto"/>
        <w:ind w:left="720" w:firstLine="0"/>
        <w:contextualSpacing w:val="0"/>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200" w:before="0" w:line="36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480" w:line="360" w:lineRule="auto"/>
      <w:jc w:val="both"/>
    </w:pPr>
    <w:rPr>
      <w:rFonts w:ascii="Cambria" w:cs="Cambria" w:eastAsia="Cambria" w:hAnsi="Cambria"/>
      <w:b w:val="1"/>
      <w:color w:val="366091"/>
      <w:sz w:val="28"/>
      <w:szCs w:val="2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airn.info/revue-societes-2013-3-page-5.htm" TargetMode="External"/><Relationship Id="rId6" Type="http://schemas.openxmlformats.org/officeDocument/2006/relationships/hyperlink" Target="http://www.msh-m.fr/le-numerique/edition-en-ligne/rusca/rusca-territoires-temps-societes/les-numeros-108/numero-6-alterite/article/varia-camille-tarot-sacre-objectif" TargetMode="External"/><Relationship Id="rId7" Type="http://schemas.openxmlformats.org/officeDocument/2006/relationships/hyperlink" Target="https://www.cairn.info/revue-societes-2013-3-page-5.htm" TargetMode="External"/><Relationship Id="rId8" Type="http://schemas.openxmlformats.org/officeDocument/2006/relationships/hyperlink" Target="http://www.msh-m.fr/le-numerique/edition-en-ligne/rusca/rusca-territoires-temps-societes/les-numeros-108/numero-6-alterite/article/varia-camille-tarot-sacre-objectif" TargetMode="External"/></Relationships>
</file>