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83" w:rsidRPr="00564983" w:rsidRDefault="00564983" w:rsidP="00564983">
      <w:pPr>
        <w:shd w:val="clear" w:color="auto" w:fill="FFFFFF"/>
        <w:spacing w:before="375" w:after="0" w:line="240" w:lineRule="auto"/>
        <w:outlineLvl w:val="0"/>
        <w:rPr>
          <w:rFonts w:ascii="Arial" w:eastAsia="Times New Roman" w:hAnsi="Arial" w:cs="Arial"/>
          <w:b/>
          <w:bCs/>
          <w:color w:val="232A2C"/>
          <w:kern w:val="36"/>
          <w:sz w:val="28"/>
          <w:szCs w:val="28"/>
        </w:rPr>
      </w:pPr>
      <w:bookmarkStart w:id="0" w:name="_GoBack"/>
      <w:r w:rsidRPr="00564983">
        <w:rPr>
          <w:rFonts w:ascii="Times" w:eastAsia="Times New Roman" w:hAnsi="Times" w:cs="Times"/>
          <w:color w:val="947B5E"/>
          <w:kern w:val="36"/>
          <w:sz w:val="28"/>
          <w:szCs w:val="28"/>
        </w:rPr>
        <w:t>Séminaire « Patrimoine spolié pendant la période du nazisme (1933-1945) – Recherche de provenance à l’échelle internationale »</w:t>
      </w:r>
    </w:p>
    <w:bookmarkEnd w:id="0"/>
    <w:p w:rsidR="00564983" w:rsidRPr="00564983" w:rsidRDefault="00564983" w:rsidP="00564983">
      <w:pPr>
        <w:shd w:val="clear" w:color="auto" w:fill="FFFFFF"/>
        <w:spacing w:before="100" w:beforeAutospacing="1" w:after="100" w:afterAutospacing="1" w:line="240" w:lineRule="auto"/>
        <w:jc w:val="both"/>
        <w:rPr>
          <w:rFonts w:ascii="Arial" w:eastAsia="Times New Roman" w:hAnsi="Arial" w:cs="Arial"/>
          <w:color w:val="242424"/>
        </w:rPr>
      </w:pPr>
      <w:r w:rsidRPr="00564983">
        <w:rPr>
          <w:rFonts w:ascii="Arial" w:eastAsia="Times New Roman" w:hAnsi="Arial" w:cs="Arial"/>
          <w:color w:val="242424"/>
        </w:rPr>
        <w:t>La recherche de provenance consacre ses investigations à la reconstitution de la trajectoire des œuvres d’art, depuis leur création jusqu’à leur localisation actuelle. Si cette enquête fait partie des pratiques traditionnelles de l’histoire de l’art, elle a gagné une dimension plus sensible suite aux spoliations opérées par le régime nazi dans toute l’Europe. Très centrale dans le travail des conservateurs, elle est menée et considérée de manière très différente selon qu’elle a fait ou non son entrée dans l’enseignement universitaire ou que des postes spécialement dédiés à cette recherche ont été créés ou non dans les musées.</w:t>
      </w:r>
    </w:p>
    <w:p w:rsidR="00564983" w:rsidRPr="00564983" w:rsidRDefault="00564983" w:rsidP="00564983">
      <w:pPr>
        <w:shd w:val="clear" w:color="auto" w:fill="FFFFFF"/>
        <w:spacing w:before="100" w:beforeAutospacing="1" w:after="100" w:afterAutospacing="1" w:line="240" w:lineRule="auto"/>
        <w:jc w:val="both"/>
        <w:rPr>
          <w:rFonts w:ascii="Arial" w:eastAsia="Times New Roman" w:hAnsi="Arial" w:cs="Arial"/>
          <w:color w:val="242424"/>
        </w:rPr>
      </w:pPr>
      <w:r w:rsidRPr="00564983">
        <w:rPr>
          <w:rFonts w:ascii="Arial" w:eastAsia="Times New Roman" w:hAnsi="Arial" w:cs="Arial"/>
          <w:color w:val="242424"/>
        </w:rPr>
        <w:t xml:space="preserve">Le séminaire « Patrimoine spolié pendant la période du nazisme (1933-1945) – Recherche de provenance à l'échelle internationale » offre un état des lieux et des éclairages sur cette discipline à échelle internationale. Comment la recherche de provenance est-elle menée au sein du </w:t>
      </w:r>
      <w:proofErr w:type="spellStart"/>
      <w:r w:rsidRPr="00564983">
        <w:rPr>
          <w:rFonts w:ascii="Arial" w:eastAsia="Times New Roman" w:hAnsi="Arial" w:cs="Arial"/>
          <w:color w:val="242424"/>
        </w:rPr>
        <w:t>Metropolitan</w:t>
      </w:r>
      <w:proofErr w:type="spellEnd"/>
      <w:r w:rsidRPr="00564983">
        <w:rPr>
          <w:rFonts w:ascii="Arial" w:eastAsia="Times New Roman" w:hAnsi="Arial" w:cs="Arial"/>
          <w:color w:val="242424"/>
        </w:rPr>
        <w:t xml:space="preserve"> Museum of Art à New York, comment le </w:t>
      </w:r>
      <w:proofErr w:type="spellStart"/>
      <w:r w:rsidRPr="00564983">
        <w:rPr>
          <w:rFonts w:ascii="Arial" w:eastAsia="Times New Roman" w:hAnsi="Arial" w:cs="Arial"/>
          <w:color w:val="242424"/>
        </w:rPr>
        <w:t>Kunstmuseum</w:t>
      </w:r>
      <w:proofErr w:type="spellEnd"/>
      <w:r w:rsidRPr="00564983">
        <w:rPr>
          <w:rFonts w:ascii="Arial" w:eastAsia="Times New Roman" w:hAnsi="Arial" w:cs="Arial"/>
          <w:color w:val="242424"/>
        </w:rPr>
        <w:t xml:space="preserve"> de Berne gère-t-il l’accueil des œuvres de la douteuse « collection </w:t>
      </w:r>
      <w:proofErr w:type="spellStart"/>
      <w:r w:rsidRPr="00564983">
        <w:rPr>
          <w:rFonts w:ascii="Arial" w:eastAsia="Times New Roman" w:hAnsi="Arial" w:cs="Arial"/>
          <w:color w:val="242424"/>
        </w:rPr>
        <w:t>Gurlitt</w:t>
      </w:r>
      <w:proofErr w:type="spellEnd"/>
      <w:r w:rsidRPr="00564983">
        <w:rPr>
          <w:rFonts w:ascii="Arial" w:eastAsia="Times New Roman" w:hAnsi="Arial" w:cs="Arial"/>
          <w:color w:val="242424"/>
        </w:rPr>
        <w:t> », comment un écrivain brésilien a-t-il retrouvé la trace de la collection de son arrière-grand père juif qui a dû fuir l’Allemagne nazie ? Chercheurs de provenance, conservateurs de musées et ayants-droit de collectionneurs spoliés témoigneront de l’enquête qui leur a permis de retracer la vie antérieure, complexe et morcelée, d’une œuvre d’art, en présentant différentes études de cas.</w:t>
      </w:r>
    </w:p>
    <w:p w:rsidR="00564983" w:rsidRPr="00564983" w:rsidRDefault="00564983" w:rsidP="00564983">
      <w:pPr>
        <w:shd w:val="clear" w:color="auto" w:fill="FFFFFF"/>
        <w:spacing w:before="100" w:beforeAutospacing="1" w:after="100" w:afterAutospacing="1" w:line="240" w:lineRule="auto"/>
        <w:jc w:val="both"/>
        <w:rPr>
          <w:rFonts w:ascii="Arial" w:eastAsia="Times New Roman" w:hAnsi="Arial" w:cs="Arial"/>
          <w:color w:val="242424"/>
        </w:rPr>
      </w:pPr>
      <w:r w:rsidRPr="00564983">
        <w:rPr>
          <w:rFonts w:ascii="Arial" w:eastAsia="Times New Roman" w:hAnsi="Arial" w:cs="Arial"/>
          <w:color w:val="242424"/>
        </w:rPr>
        <w:t>Ce séminaire en cinq séances s’inscrit dans l’actualité des débats autour des biens spoliés pendant la période du nazisme qui – depuis 1998, année où les « Principes de Washington » furent adoptés par 44 pays – tentent de trouver des solutions justes et équitables pour rendre justice à des anciens propriétaires dépossédés.</w:t>
      </w:r>
    </w:p>
    <w:p w:rsidR="00564983" w:rsidRPr="00564983" w:rsidRDefault="00564983" w:rsidP="00564983">
      <w:pPr>
        <w:shd w:val="clear" w:color="auto" w:fill="FFFFFF"/>
        <w:spacing w:before="100" w:beforeAutospacing="1" w:after="100" w:afterAutospacing="1" w:line="240" w:lineRule="auto"/>
        <w:rPr>
          <w:rFonts w:ascii="Arial" w:eastAsia="Times New Roman" w:hAnsi="Arial" w:cs="Arial"/>
          <w:color w:val="242424"/>
        </w:rPr>
      </w:pPr>
      <w:r w:rsidRPr="00564983">
        <w:rPr>
          <w:rFonts w:ascii="Arial" w:eastAsia="Times New Roman" w:hAnsi="Arial" w:cs="Arial"/>
          <w:color w:val="242424"/>
        </w:rPr>
        <w:t>En partenariat avec </w:t>
      </w:r>
      <w:hyperlink r:id="rId6" w:tooltip="l’Institut national du patrimoine (ce lien ouvre une nouvelle fenêtre)" w:history="1">
        <w:r w:rsidRPr="00564983">
          <w:rPr>
            <w:rFonts w:ascii="Arial" w:eastAsia="Times New Roman" w:hAnsi="Arial" w:cs="Arial"/>
            <w:b/>
            <w:bCs/>
            <w:color w:val="EF4123"/>
            <w:u w:val="single"/>
          </w:rPr>
          <w:t>l’Institut national du patrimoine</w:t>
        </w:r>
      </w:hyperlink>
    </w:p>
    <w:p w:rsidR="00564983" w:rsidRPr="00564983" w:rsidRDefault="00564983" w:rsidP="00564983">
      <w:pPr>
        <w:shd w:val="clear" w:color="auto" w:fill="FFFFFF"/>
        <w:spacing w:before="100" w:beforeAutospacing="1" w:after="100" w:afterAutospacing="1" w:line="240" w:lineRule="auto"/>
        <w:rPr>
          <w:rFonts w:ascii="Arial" w:eastAsia="Times New Roman" w:hAnsi="Arial" w:cs="Arial"/>
          <w:b/>
          <w:bCs/>
          <w:color w:val="6F6353"/>
        </w:rPr>
      </w:pPr>
      <w:r w:rsidRPr="00564983">
        <w:rPr>
          <w:rFonts w:ascii="Arial" w:eastAsia="Times New Roman" w:hAnsi="Arial" w:cs="Arial"/>
          <w:b/>
          <w:bCs/>
          <w:color w:val="6F6353"/>
        </w:rPr>
        <w:t>Comité scientifique</w:t>
      </w:r>
    </w:p>
    <w:p w:rsidR="00564983" w:rsidRPr="00564983" w:rsidRDefault="00564983" w:rsidP="00564983">
      <w:pPr>
        <w:numPr>
          <w:ilvl w:val="0"/>
          <w:numId w:val="1"/>
        </w:numPr>
        <w:shd w:val="clear" w:color="auto" w:fill="FFFFFF"/>
        <w:spacing w:after="0" w:line="240" w:lineRule="auto"/>
        <w:ind w:left="540"/>
        <w:rPr>
          <w:rFonts w:ascii="Arial" w:eastAsia="Times New Roman" w:hAnsi="Arial" w:cs="Arial"/>
          <w:color w:val="242424"/>
        </w:rPr>
      </w:pPr>
      <w:r w:rsidRPr="00564983">
        <w:rPr>
          <w:rFonts w:ascii="Arial" w:eastAsia="Times New Roman" w:hAnsi="Arial" w:cs="Arial"/>
          <w:color w:val="242424"/>
        </w:rPr>
        <w:t xml:space="preserve">Christian </w:t>
      </w:r>
      <w:proofErr w:type="spellStart"/>
      <w:r w:rsidRPr="00564983">
        <w:rPr>
          <w:rFonts w:ascii="Arial" w:eastAsia="Times New Roman" w:hAnsi="Arial" w:cs="Arial"/>
          <w:color w:val="242424"/>
        </w:rPr>
        <w:t>Hottin</w:t>
      </w:r>
      <w:proofErr w:type="spellEnd"/>
      <w:r w:rsidRPr="00564983">
        <w:rPr>
          <w:rFonts w:ascii="Arial" w:eastAsia="Times New Roman" w:hAnsi="Arial" w:cs="Arial"/>
          <w:color w:val="242424"/>
        </w:rPr>
        <w:t xml:space="preserve"> (INP)</w:t>
      </w:r>
    </w:p>
    <w:p w:rsidR="00564983" w:rsidRPr="00564983" w:rsidRDefault="00564983" w:rsidP="00564983">
      <w:pPr>
        <w:numPr>
          <w:ilvl w:val="0"/>
          <w:numId w:val="1"/>
        </w:numPr>
        <w:shd w:val="clear" w:color="auto" w:fill="FFFFFF"/>
        <w:spacing w:after="0" w:line="240" w:lineRule="auto"/>
        <w:ind w:left="540"/>
        <w:rPr>
          <w:rFonts w:ascii="Arial" w:eastAsia="Times New Roman" w:hAnsi="Arial" w:cs="Arial"/>
          <w:color w:val="242424"/>
        </w:rPr>
      </w:pPr>
      <w:r w:rsidRPr="00564983">
        <w:rPr>
          <w:rFonts w:ascii="Arial" w:eastAsia="Times New Roman" w:hAnsi="Arial" w:cs="Arial"/>
          <w:color w:val="242424"/>
        </w:rPr>
        <w:t xml:space="preserve">France </w:t>
      </w:r>
      <w:proofErr w:type="spellStart"/>
      <w:r w:rsidRPr="00564983">
        <w:rPr>
          <w:rFonts w:ascii="Arial" w:eastAsia="Times New Roman" w:hAnsi="Arial" w:cs="Arial"/>
          <w:color w:val="242424"/>
        </w:rPr>
        <w:t>Nerlich</w:t>
      </w:r>
      <w:proofErr w:type="spellEnd"/>
      <w:r w:rsidRPr="00564983">
        <w:rPr>
          <w:rFonts w:ascii="Arial" w:eastAsia="Times New Roman" w:hAnsi="Arial" w:cs="Arial"/>
          <w:color w:val="242424"/>
        </w:rPr>
        <w:t xml:space="preserve"> (INHA)</w:t>
      </w:r>
    </w:p>
    <w:p w:rsidR="00564983" w:rsidRPr="00564983" w:rsidRDefault="00564983" w:rsidP="00564983">
      <w:pPr>
        <w:numPr>
          <w:ilvl w:val="0"/>
          <w:numId w:val="1"/>
        </w:numPr>
        <w:shd w:val="clear" w:color="auto" w:fill="FFFFFF"/>
        <w:spacing w:after="0" w:line="240" w:lineRule="auto"/>
        <w:ind w:left="540"/>
        <w:rPr>
          <w:rFonts w:ascii="Arial" w:eastAsia="Times New Roman" w:hAnsi="Arial" w:cs="Arial"/>
          <w:color w:val="242424"/>
        </w:rPr>
      </w:pPr>
      <w:proofErr w:type="spellStart"/>
      <w:r w:rsidRPr="00564983">
        <w:rPr>
          <w:rFonts w:ascii="Arial" w:eastAsia="Times New Roman" w:hAnsi="Arial" w:cs="Arial"/>
          <w:color w:val="242424"/>
        </w:rPr>
        <w:t>Ines</w:t>
      </w:r>
      <w:proofErr w:type="spellEnd"/>
      <w:r w:rsidRPr="00564983">
        <w:rPr>
          <w:rFonts w:ascii="Arial" w:eastAsia="Times New Roman" w:hAnsi="Arial" w:cs="Arial"/>
          <w:color w:val="242424"/>
        </w:rPr>
        <w:t xml:space="preserve"> </w:t>
      </w:r>
      <w:proofErr w:type="spellStart"/>
      <w:r w:rsidRPr="00564983">
        <w:rPr>
          <w:rFonts w:ascii="Arial" w:eastAsia="Times New Roman" w:hAnsi="Arial" w:cs="Arial"/>
          <w:color w:val="242424"/>
        </w:rPr>
        <w:t>Rotermund-Reynard</w:t>
      </w:r>
      <w:proofErr w:type="spellEnd"/>
      <w:r w:rsidRPr="00564983">
        <w:rPr>
          <w:rFonts w:ascii="Arial" w:eastAsia="Times New Roman" w:hAnsi="Arial" w:cs="Arial"/>
          <w:color w:val="242424"/>
        </w:rPr>
        <w:t xml:space="preserve"> (INHA)</w:t>
      </w:r>
    </w:p>
    <w:p w:rsidR="00564983" w:rsidRPr="00564983" w:rsidRDefault="00564983" w:rsidP="00564983">
      <w:pPr>
        <w:shd w:val="clear" w:color="auto" w:fill="FFFFFF"/>
        <w:spacing w:before="100" w:beforeAutospacing="1" w:after="100" w:afterAutospacing="1" w:line="240" w:lineRule="auto"/>
        <w:rPr>
          <w:rFonts w:ascii="Arial" w:eastAsia="Times New Roman" w:hAnsi="Arial" w:cs="Arial"/>
          <w:color w:val="242424"/>
        </w:rPr>
      </w:pPr>
      <w:r w:rsidRPr="00564983">
        <w:rPr>
          <w:rFonts w:ascii="Arial" w:eastAsia="Times New Roman" w:hAnsi="Arial" w:cs="Arial"/>
          <w:color w:val="242424"/>
        </w:rPr>
        <w:t>Programme de recherche : </w:t>
      </w:r>
      <w:hyperlink r:id="rId7" w:history="1">
        <w:r w:rsidRPr="00564983">
          <w:rPr>
            <w:rFonts w:ascii="Arial" w:eastAsia="Times New Roman" w:hAnsi="Arial" w:cs="Arial"/>
            <w:b/>
            <w:bCs/>
            <w:color w:val="EF4123"/>
            <w:u w:val="single"/>
          </w:rPr>
          <w:t>« Répertoire des acteurs du marché de l’art en France sous l’Occupation (1940-1945) »</w:t>
        </w:r>
      </w:hyperlink>
      <w:r w:rsidRPr="00564983">
        <w:rPr>
          <w:rFonts w:ascii="Arial" w:eastAsia="Times New Roman" w:hAnsi="Arial" w:cs="Arial"/>
          <w:color w:val="242424"/>
        </w:rPr>
        <w:t xml:space="preserve">, cheffe de projet : </w:t>
      </w:r>
      <w:proofErr w:type="spellStart"/>
      <w:r w:rsidRPr="00564983">
        <w:rPr>
          <w:rFonts w:ascii="Arial" w:eastAsia="Times New Roman" w:hAnsi="Arial" w:cs="Arial"/>
          <w:color w:val="242424"/>
        </w:rPr>
        <w:t>Ines</w:t>
      </w:r>
      <w:proofErr w:type="spellEnd"/>
      <w:r w:rsidRPr="00564983">
        <w:rPr>
          <w:rFonts w:ascii="Arial" w:eastAsia="Times New Roman" w:hAnsi="Arial" w:cs="Arial"/>
          <w:color w:val="242424"/>
        </w:rPr>
        <w:t xml:space="preserve"> </w:t>
      </w:r>
      <w:proofErr w:type="spellStart"/>
      <w:r w:rsidRPr="00564983">
        <w:rPr>
          <w:rFonts w:ascii="Arial" w:eastAsia="Times New Roman" w:hAnsi="Arial" w:cs="Arial"/>
          <w:color w:val="242424"/>
        </w:rPr>
        <w:t>Rotermund-Reynard</w:t>
      </w:r>
      <w:proofErr w:type="spellEnd"/>
      <w:r w:rsidRPr="00564983">
        <w:rPr>
          <w:rFonts w:ascii="Arial" w:eastAsia="Times New Roman" w:hAnsi="Arial" w:cs="Arial"/>
          <w:color w:val="242424"/>
        </w:rPr>
        <w:t xml:space="preserve"> (domaine Histoire des collections, histoire des institutions artistiques et culturelles, économie de l’art).</w:t>
      </w:r>
    </w:p>
    <w:p w:rsidR="00564983" w:rsidRPr="00564983" w:rsidRDefault="00564983" w:rsidP="00564983">
      <w:pPr>
        <w:pBdr>
          <w:left w:val="single" w:sz="48" w:space="22" w:color="EF4123"/>
        </w:pBdr>
        <w:shd w:val="clear" w:color="auto" w:fill="FFFFFF"/>
        <w:spacing w:before="300" w:after="100" w:afterAutospacing="1" w:line="240" w:lineRule="auto"/>
        <w:rPr>
          <w:rFonts w:ascii="Arial" w:eastAsia="Times New Roman" w:hAnsi="Arial" w:cs="Arial"/>
          <w:color w:val="EF4123"/>
        </w:rPr>
      </w:pPr>
      <w:r w:rsidRPr="00564983">
        <w:rPr>
          <w:rFonts w:ascii="Arial" w:eastAsia="Times New Roman" w:hAnsi="Arial" w:cs="Arial"/>
          <w:color w:val="EF4123"/>
        </w:rPr>
        <w:t>Programme</w:t>
      </w:r>
    </w:p>
    <w:p w:rsidR="00564983" w:rsidRPr="00564983" w:rsidRDefault="00564983" w:rsidP="00564983">
      <w:pPr>
        <w:numPr>
          <w:ilvl w:val="0"/>
          <w:numId w:val="2"/>
        </w:numPr>
        <w:shd w:val="clear" w:color="auto" w:fill="FFFFFF"/>
        <w:spacing w:after="0" w:line="240" w:lineRule="auto"/>
        <w:ind w:left="540"/>
        <w:rPr>
          <w:rFonts w:ascii="Arial" w:eastAsia="Times New Roman" w:hAnsi="Arial" w:cs="Arial"/>
          <w:color w:val="242424"/>
        </w:rPr>
      </w:pPr>
      <w:r w:rsidRPr="00564983">
        <w:rPr>
          <w:rFonts w:ascii="Arial" w:eastAsia="Times New Roman" w:hAnsi="Arial" w:cs="Arial"/>
          <w:b/>
          <w:bCs/>
          <w:color w:val="242424"/>
        </w:rPr>
        <w:t>31 janvier 2019</w:t>
      </w:r>
      <w:r w:rsidRPr="00564983">
        <w:rPr>
          <w:rFonts w:ascii="Arial" w:eastAsia="Times New Roman" w:hAnsi="Arial" w:cs="Arial"/>
          <w:color w:val="242424"/>
        </w:rPr>
        <w:br/>
        <w:t> </w:t>
      </w:r>
      <w:proofErr w:type="spellStart"/>
      <w:r w:rsidRPr="00564983">
        <w:rPr>
          <w:rFonts w:ascii="Arial" w:eastAsia="Times New Roman" w:hAnsi="Arial" w:cs="Arial"/>
          <w:color w:val="242424"/>
        </w:rPr>
        <w:t>Ines</w:t>
      </w:r>
      <w:proofErr w:type="spellEnd"/>
      <w:r w:rsidRPr="00564983">
        <w:rPr>
          <w:rFonts w:ascii="Arial" w:eastAsia="Times New Roman" w:hAnsi="Arial" w:cs="Arial"/>
          <w:color w:val="242424"/>
        </w:rPr>
        <w:t xml:space="preserve"> </w:t>
      </w:r>
      <w:proofErr w:type="spellStart"/>
      <w:r w:rsidRPr="00564983">
        <w:rPr>
          <w:rFonts w:ascii="Arial" w:eastAsia="Times New Roman" w:hAnsi="Arial" w:cs="Arial"/>
          <w:color w:val="242424"/>
        </w:rPr>
        <w:t>Rotermund-Reynard</w:t>
      </w:r>
      <w:proofErr w:type="spellEnd"/>
      <w:r w:rsidRPr="00564983">
        <w:rPr>
          <w:rFonts w:ascii="Arial" w:eastAsia="Times New Roman" w:hAnsi="Arial" w:cs="Arial"/>
          <w:color w:val="242424"/>
        </w:rPr>
        <w:t xml:space="preserve"> (INHA) : </w:t>
      </w:r>
      <w:r w:rsidRPr="00564983">
        <w:rPr>
          <w:rFonts w:ascii="Arial" w:eastAsia="Times New Roman" w:hAnsi="Arial" w:cs="Arial"/>
          <w:i/>
          <w:iCs/>
          <w:color w:val="242424"/>
        </w:rPr>
        <w:t xml:space="preserve">Vue de l’intérieur d’un atelier de recherche de provenance – Enquête sur l’origine d’un tableau de la collection </w:t>
      </w:r>
      <w:proofErr w:type="spellStart"/>
      <w:r w:rsidRPr="00564983">
        <w:rPr>
          <w:rFonts w:ascii="Arial" w:eastAsia="Times New Roman" w:hAnsi="Arial" w:cs="Arial"/>
          <w:i/>
          <w:iCs/>
          <w:color w:val="242424"/>
        </w:rPr>
        <w:t>Gurlitt</w:t>
      </w:r>
      <w:proofErr w:type="spellEnd"/>
      <w:r w:rsidRPr="00564983">
        <w:rPr>
          <w:rFonts w:ascii="Arial" w:eastAsia="Times New Roman" w:hAnsi="Arial" w:cs="Arial"/>
          <w:i/>
          <w:iCs/>
          <w:color w:val="242424"/>
        </w:rPr>
        <w:br/>
      </w:r>
      <w:r w:rsidRPr="00564983">
        <w:rPr>
          <w:rFonts w:ascii="Arial" w:eastAsia="Times New Roman" w:hAnsi="Arial" w:cs="Arial"/>
          <w:color w:val="242424"/>
        </w:rPr>
        <w:t>→ </w:t>
      </w:r>
      <w:hyperlink r:id="rId8" w:history="1">
        <w:r w:rsidRPr="00564983">
          <w:rPr>
            <w:rFonts w:ascii="Arial" w:eastAsia="Times New Roman" w:hAnsi="Arial" w:cs="Arial"/>
            <w:color w:val="EF4123"/>
            <w:u w:val="single"/>
          </w:rPr>
          <w:t>Voir dans l'agenda</w:t>
        </w:r>
      </w:hyperlink>
    </w:p>
    <w:p w:rsidR="00564983" w:rsidRPr="00564983" w:rsidRDefault="00564983" w:rsidP="00564983">
      <w:pPr>
        <w:numPr>
          <w:ilvl w:val="0"/>
          <w:numId w:val="3"/>
        </w:numPr>
        <w:shd w:val="clear" w:color="auto" w:fill="FFFFFF"/>
        <w:spacing w:after="0" w:line="240" w:lineRule="auto"/>
        <w:ind w:left="540"/>
        <w:rPr>
          <w:rFonts w:ascii="Arial" w:eastAsia="Times New Roman" w:hAnsi="Arial" w:cs="Arial"/>
          <w:color w:val="242424"/>
        </w:rPr>
      </w:pPr>
      <w:r w:rsidRPr="00564983">
        <w:rPr>
          <w:rFonts w:ascii="Arial" w:eastAsia="Times New Roman" w:hAnsi="Arial" w:cs="Arial"/>
          <w:b/>
          <w:bCs/>
          <w:color w:val="242424"/>
        </w:rPr>
        <w:t>21 février 2019</w:t>
      </w:r>
      <w:r w:rsidRPr="00564983">
        <w:rPr>
          <w:rFonts w:ascii="Arial" w:eastAsia="Times New Roman" w:hAnsi="Arial" w:cs="Arial"/>
          <w:color w:val="242424"/>
        </w:rPr>
        <w:br/>
        <w:t xml:space="preserve">Rafael Cardoso (écrivain, historien de l’art), Didier </w:t>
      </w:r>
      <w:proofErr w:type="spellStart"/>
      <w:r w:rsidRPr="00564983">
        <w:rPr>
          <w:rFonts w:ascii="Arial" w:eastAsia="Times New Roman" w:hAnsi="Arial" w:cs="Arial"/>
          <w:color w:val="242424"/>
        </w:rPr>
        <w:t>Schulmann</w:t>
      </w:r>
      <w:proofErr w:type="spellEnd"/>
      <w:r w:rsidRPr="00564983">
        <w:rPr>
          <w:rFonts w:ascii="Arial" w:eastAsia="Times New Roman" w:hAnsi="Arial" w:cs="Arial"/>
          <w:color w:val="242424"/>
        </w:rPr>
        <w:t xml:space="preserve"> (MNAM/CCI, Bibliothèque Kandinsky, Centre Pompidou) : </w:t>
      </w:r>
      <w:r w:rsidRPr="00564983">
        <w:rPr>
          <w:rFonts w:ascii="Arial" w:eastAsia="Times New Roman" w:hAnsi="Arial" w:cs="Arial"/>
          <w:i/>
          <w:iCs/>
          <w:color w:val="242424"/>
        </w:rPr>
        <w:t>L’histoire du tableau Nus dans un paysage de Max Pechstein (1912</w:t>
      </w:r>
      <w:proofErr w:type="gramStart"/>
      <w:r w:rsidRPr="00564983">
        <w:rPr>
          <w:rFonts w:ascii="Arial" w:eastAsia="Times New Roman" w:hAnsi="Arial" w:cs="Arial"/>
          <w:i/>
          <w:iCs/>
          <w:color w:val="242424"/>
        </w:rPr>
        <w:t>)</w:t>
      </w:r>
      <w:proofErr w:type="gramEnd"/>
      <w:r w:rsidRPr="00564983">
        <w:rPr>
          <w:rFonts w:ascii="Arial" w:eastAsia="Times New Roman" w:hAnsi="Arial" w:cs="Arial"/>
          <w:i/>
          <w:iCs/>
          <w:color w:val="242424"/>
        </w:rPr>
        <w:br/>
        <w:t>→ </w:t>
      </w:r>
      <w:hyperlink r:id="rId9" w:history="1">
        <w:r w:rsidRPr="00564983">
          <w:rPr>
            <w:rFonts w:ascii="Arial" w:eastAsia="Times New Roman" w:hAnsi="Arial" w:cs="Arial"/>
            <w:color w:val="EF4123"/>
            <w:u w:val="single"/>
          </w:rPr>
          <w:t>Voir dans l'agenda</w:t>
        </w:r>
      </w:hyperlink>
    </w:p>
    <w:p w:rsidR="00150C67" w:rsidRPr="00564983" w:rsidRDefault="00150C67">
      <w:pPr>
        <w:rPr>
          <w:sz w:val="24"/>
          <w:szCs w:val="24"/>
        </w:rPr>
      </w:pPr>
    </w:p>
    <w:sectPr w:rsidR="00150C67" w:rsidRPr="0056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A54"/>
    <w:multiLevelType w:val="multilevel"/>
    <w:tmpl w:val="E59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91178"/>
    <w:multiLevelType w:val="multilevel"/>
    <w:tmpl w:val="BF0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902E1"/>
    <w:multiLevelType w:val="multilevel"/>
    <w:tmpl w:val="35B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3"/>
    <w:rsid w:val="00150C67"/>
    <w:rsid w:val="005649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64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4983"/>
    <w:rPr>
      <w:rFonts w:ascii="Times New Roman" w:eastAsia="Times New Roman" w:hAnsi="Times New Roman" w:cs="Times New Roman"/>
      <w:b/>
      <w:bCs/>
      <w:kern w:val="36"/>
      <w:sz w:val="48"/>
      <w:szCs w:val="48"/>
    </w:rPr>
  </w:style>
  <w:style w:type="character" w:customStyle="1" w:styleId="content-title">
    <w:name w:val="content-title"/>
    <w:basedOn w:val="Policepardfaut"/>
    <w:rsid w:val="00564983"/>
  </w:style>
  <w:style w:type="character" w:styleId="Lienhypertexte">
    <w:name w:val="Hyperlink"/>
    <w:basedOn w:val="Policepardfaut"/>
    <w:uiPriority w:val="99"/>
    <w:semiHidden/>
    <w:unhideWhenUsed/>
    <w:rsid w:val="00564983"/>
    <w:rPr>
      <w:color w:val="0000FF"/>
      <w:u w:val="single"/>
    </w:rPr>
  </w:style>
  <w:style w:type="paragraph" w:styleId="NormalWeb">
    <w:name w:val="Normal (Web)"/>
    <w:basedOn w:val="Normal"/>
    <w:uiPriority w:val="99"/>
    <w:semiHidden/>
    <w:unhideWhenUsed/>
    <w:rsid w:val="0056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56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56498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4983"/>
    <w:rPr>
      <w:b/>
      <w:bCs/>
    </w:rPr>
  </w:style>
  <w:style w:type="character" w:styleId="Accentuation">
    <w:name w:val="Emphasis"/>
    <w:basedOn w:val="Policepardfaut"/>
    <w:uiPriority w:val="20"/>
    <w:qFormat/>
    <w:rsid w:val="00564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64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4983"/>
    <w:rPr>
      <w:rFonts w:ascii="Times New Roman" w:eastAsia="Times New Roman" w:hAnsi="Times New Roman" w:cs="Times New Roman"/>
      <w:b/>
      <w:bCs/>
      <w:kern w:val="36"/>
      <w:sz w:val="48"/>
      <w:szCs w:val="48"/>
    </w:rPr>
  </w:style>
  <w:style w:type="character" w:customStyle="1" w:styleId="content-title">
    <w:name w:val="content-title"/>
    <w:basedOn w:val="Policepardfaut"/>
    <w:rsid w:val="00564983"/>
  </w:style>
  <w:style w:type="character" w:styleId="Lienhypertexte">
    <w:name w:val="Hyperlink"/>
    <w:basedOn w:val="Policepardfaut"/>
    <w:uiPriority w:val="99"/>
    <w:semiHidden/>
    <w:unhideWhenUsed/>
    <w:rsid w:val="00564983"/>
    <w:rPr>
      <w:color w:val="0000FF"/>
      <w:u w:val="single"/>
    </w:rPr>
  </w:style>
  <w:style w:type="paragraph" w:styleId="NormalWeb">
    <w:name w:val="Normal (Web)"/>
    <w:basedOn w:val="Normal"/>
    <w:uiPriority w:val="99"/>
    <w:semiHidden/>
    <w:unhideWhenUsed/>
    <w:rsid w:val="0056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56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56498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4983"/>
    <w:rPr>
      <w:b/>
      <w:bCs/>
    </w:rPr>
  </w:style>
  <w:style w:type="character" w:styleId="Accentuation">
    <w:name w:val="Emphasis"/>
    <w:basedOn w:val="Policepardfaut"/>
    <w:uiPriority w:val="20"/>
    <w:qFormat/>
    <w:rsid w:val="00564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ha.fr/fr/agenda/parcourir-par-annee/en-2019/janvier-2019/patrimoine-spolie-vue-de-l-interieur-d-un-atelier-de-recherche-de-provenance.html" TargetMode="External"/><Relationship Id="rId3" Type="http://schemas.microsoft.com/office/2007/relationships/stylesWithEffects" Target="stylesWithEffects.xml"/><Relationship Id="rId7" Type="http://schemas.openxmlformats.org/officeDocument/2006/relationships/hyperlink" Target="https://www.inha.fr/fr/recherche/le-departement-des-etudes-et-de-la-recherche/domaines-de-recherche/histoire-des-collections-histoire-des-institutions-artistiques-et-culturelles-economie-de-l-art/repertoire-des-acteurs-du-marche-de-l-art-en-france-sous-l-occupation-ra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ha.fr/fr/agenda/parcourir-par-annee/en-2019/fevrier-2019/patrimoine-spolie-pendant-la-periode-du-nazisme-1933-1945-l-histoire-du-tableau-nus-dans-un-paysage-de-max-pechstein-191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MONTES</dc:creator>
  <cp:lastModifiedBy> Florencia MONTES</cp:lastModifiedBy>
  <cp:revision>1</cp:revision>
  <dcterms:created xsi:type="dcterms:W3CDTF">2019-01-10T13:59:00Z</dcterms:created>
  <dcterms:modified xsi:type="dcterms:W3CDTF">2019-01-10T14:00:00Z</dcterms:modified>
</cp:coreProperties>
</file>