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1C4EA" w14:textId="522A4085" w:rsidR="001B2550" w:rsidRDefault="0020646F" w:rsidP="0020646F">
      <w:pPr>
        <w:jc w:val="center"/>
        <w:rPr>
          <w:color w:val="000000" w:themeColor="text1"/>
        </w:rPr>
      </w:pPr>
      <w:r w:rsidRPr="0020646F">
        <w:rPr>
          <w:noProof/>
          <w:color w:val="000000" w:themeColor="text1"/>
        </w:rPr>
        <w:drawing>
          <wp:inline distT="0" distB="0" distL="0" distR="0" wp14:anchorId="39FA1D70" wp14:editId="23AB8005">
            <wp:extent cx="5756910" cy="81559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8155940"/>
                    </a:xfrm>
                    <a:prstGeom prst="rect">
                      <a:avLst/>
                    </a:prstGeom>
                  </pic:spPr>
                </pic:pic>
              </a:graphicData>
            </a:graphic>
          </wp:inline>
        </w:drawing>
      </w:r>
    </w:p>
    <w:p w14:paraId="3AD6D6F0" w14:textId="3D80A2F5" w:rsidR="001F3202" w:rsidRDefault="001F3202" w:rsidP="001F3202">
      <w:pPr>
        <w:rPr>
          <w:rFonts w:ascii="Times New Roman" w:hAnsi="Times New Roman" w:cs="Times New Roman"/>
          <w:color w:val="000000" w:themeColor="text1"/>
        </w:rPr>
      </w:pPr>
    </w:p>
    <w:p w14:paraId="0AF8745D" w14:textId="7363DB91" w:rsidR="0020646F" w:rsidRDefault="0020646F" w:rsidP="001F3202">
      <w:pPr>
        <w:rPr>
          <w:rFonts w:ascii="Times New Roman" w:hAnsi="Times New Roman" w:cs="Times New Roman"/>
          <w:color w:val="000000" w:themeColor="text1"/>
        </w:rPr>
      </w:pPr>
    </w:p>
    <w:p w14:paraId="58EB48FA" w14:textId="77777777" w:rsidR="0020646F" w:rsidRPr="00CF4D08" w:rsidRDefault="0020646F" w:rsidP="001F3202">
      <w:pPr>
        <w:rPr>
          <w:rFonts w:ascii="Times New Roman" w:hAnsi="Times New Roman" w:cs="Times New Roman"/>
          <w:color w:val="000000" w:themeColor="text1"/>
        </w:rPr>
      </w:pPr>
    </w:p>
    <w:p w14:paraId="5F008FC6" w14:textId="6158E0CE" w:rsidR="001F3202" w:rsidRDefault="001F3202" w:rsidP="001F3202">
      <w:pPr>
        <w:ind w:firstLine="708"/>
        <w:jc w:val="both"/>
        <w:rPr>
          <w:rFonts w:ascii="Times New Roman" w:hAnsi="Times New Roman" w:cs="Times New Roman"/>
          <w:bCs/>
          <w:color w:val="000000" w:themeColor="text1"/>
        </w:rPr>
      </w:pPr>
      <w:r w:rsidRPr="00CF4D08">
        <w:rPr>
          <w:rFonts w:ascii="Times New Roman" w:hAnsi="Times New Roman" w:cs="Times New Roman"/>
          <w:color w:val="000000" w:themeColor="text1"/>
        </w:rPr>
        <w:lastRenderedPageBreak/>
        <w:t>L</w:t>
      </w:r>
      <w:r w:rsidR="00243335" w:rsidRPr="00CF4D08">
        <w:rPr>
          <w:rFonts w:ascii="Times New Roman" w:hAnsi="Times New Roman" w:cs="Times New Roman"/>
          <w:color w:val="000000" w:themeColor="text1"/>
        </w:rPr>
        <w:t xml:space="preserve">a séquence </w:t>
      </w:r>
      <w:r w:rsidRPr="00CF4D08">
        <w:rPr>
          <w:rFonts w:ascii="Times New Roman" w:hAnsi="Times New Roman" w:cs="Times New Roman"/>
          <w:color w:val="000000" w:themeColor="text1"/>
        </w:rPr>
        <w:t>2020</w:t>
      </w:r>
      <w:r w:rsidR="00243335" w:rsidRPr="00CF4D08">
        <w:rPr>
          <w:rFonts w:ascii="Times New Roman" w:hAnsi="Times New Roman" w:cs="Times New Roman"/>
          <w:color w:val="000000" w:themeColor="text1"/>
        </w:rPr>
        <w:t>-2021</w:t>
      </w:r>
      <w:r w:rsidRPr="00CF4D08">
        <w:rPr>
          <w:rFonts w:ascii="Times New Roman" w:hAnsi="Times New Roman" w:cs="Times New Roman"/>
          <w:color w:val="000000" w:themeColor="text1"/>
        </w:rPr>
        <w:t xml:space="preserve"> est marquée par un quadruple anniversaire franco-allemand : le cent-cinquantenaire des débuts de la guerre franco-prussienne en amont et le soixante-quinzième anniversaire de la fin de la Seconde Guerre mondiale en aval. Entre les deux, 2020 correspond également au centième anniversaire de l’entrée en vigueur du traité de Versailles – qui à l’issue de la Grande Guerre devait remodeler les relations entre les deux voisins mais aussi, idéalement, permettre d’éviter de nouveaux conflits – et au quatre-vingtième anniversaire de la défaite française de mai-juin 1940. </w:t>
      </w:r>
      <w:r w:rsidRPr="00CF4D08">
        <w:rPr>
          <w:rFonts w:ascii="Times New Roman" w:hAnsi="Times New Roman" w:cs="Times New Roman"/>
          <w:bCs/>
          <w:color w:val="000000" w:themeColor="text1"/>
        </w:rPr>
        <w:t xml:space="preserve">La défaite est donc une </w:t>
      </w:r>
      <w:r w:rsidRPr="00CF4D08">
        <w:rPr>
          <w:rFonts w:ascii="Times New Roman" w:hAnsi="Times New Roman" w:cs="Times New Roman"/>
          <w:bCs/>
          <w:i/>
          <w:color w:val="000000" w:themeColor="text1"/>
        </w:rPr>
        <w:t>expérience partagée</w:t>
      </w:r>
      <w:r w:rsidRPr="00CF4D08">
        <w:rPr>
          <w:rFonts w:ascii="Times New Roman" w:hAnsi="Times New Roman" w:cs="Times New Roman"/>
          <w:bCs/>
          <w:color w:val="000000" w:themeColor="text1"/>
        </w:rPr>
        <w:t>. Elle bouscule, recompose et continue à travailler en profondeur les sociétés française et allemande, avant, pendant et après les conflits</w:t>
      </w:r>
      <w:r w:rsidR="00CF4D08">
        <w:rPr>
          <w:rFonts w:ascii="Times New Roman" w:hAnsi="Times New Roman" w:cs="Times New Roman"/>
          <w:bCs/>
          <w:color w:val="000000" w:themeColor="text1"/>
        </w:rPr>
        <w:t>.</w:t>
      </w:r>
    </w:p>
    <w:p w14:paraId="29B51EF8" w14:textId="77777777" w:rsidR="00CF4D08" w:rsidRPr="00CF4D08" w:rsidRDefault="00CF4D08" w:rsidP="001F3202">
      <w:pPr>
        <w:ind w:firstLine="708"/>
        <w:jc w:val="both"/>
        <w:rPr>
          <w:rFonts w:ascii="Times New Roman" w:hAnsi="Times New Roman" w:cs="Times New Roman"/>
          <w:color w:val="000000" w:themeColor="text1"/>
        </w:rPr>
      </w:pPr>
    </w:p>
    <w:p w14:paraId="33988FEC" w14:textId="21C4D97A" w:rsidR="001F3202" w:rsidRDefault="001F3202" w:rsidP="001F3202">
      <w:pPr>
        <w:ind w:firstLine="708"/>
        <w:jc w:val="both"/>
        <w:rPr>
          <w:rFonts w:ascii="Times New Roman" w:hAnsi="Times New Roman" w:cs="Times New Roman"/>
          <w:bCs/>
          <w:color w:val="000000" w:themeColor="text1"/>
        </w:rPr>
      </w:pPr>
      <w:r w:rsidRPr="00CF4D08">
        <w:rPr>
          <w:rFonts w:ascii="Times New Roman" w:hAnsi="Times New Roman" w:cs="Times New Roman"/>
          <w:color w:val="000000" w:themeColor="text1"/>
        </w:rPr>
        <w:t xml:space="preserve">Dans ce cycle commémoratif éclaté qui voit chaque conflit étudié séparément, </w:t>
      </w:r>
      <w:r w:rsidRPr="00CF4D08">
        <w:rPr>
          <w:rFonts w:ascii="Times New Roman" w:hAnsi="Times New Roman" w:cs="Times New Roman"/>
          <w:bCs/>
          <w:color w:val="000000" w:themeColor="text1"/>
        </w:rPr>
        <w:t>le Service Historique de la Défense (Vincennes), en partenariat avec</w:t>
      </w:r>
      <w:r w:rsidRPr="00CF4D08">
        <w:rPr>
          <w:rFonts w:ascii="Times New Roman" w:hAnsi="Times New Roman" w:cs="Times New Roman"/>
          <w:color w:val="000000" w:themeColor="text1"/>
        </w:rPr>
        <w:t xml:space="preserve"> </w:t>
      </w:r>
      <w:r w:rsidRPr="00CF4D08">
        <w:rPr>
          <w:rFonts w:ascii="Times New Roman" w:hAnsi="Times New Roman" w:cs="Times New Roman"/>
          <w:bCs/>
          <w:color w:val="000000" w:themeColor="text1"/>
        </w:rPr>
        <w:t xml:space="preserve">le Centre Marc Bloch (Berlin), le Centre d’Histoire « Espaces et Cultures » de l’Université d’Auvergne (Clermont-Ferrand), le Centre international de </w:t>
      </w:r>
      <w:r w:rsidR="004C4591" w:rsidRPr="00CF4D08">
        <w:rPr>
          <w:rFonts w:ascii="Times New Roman" w:hAnsi="Times New Roman" w:cs="Times New Roman"/>
          <w:bCs/>
          <w:color w:val="000000" w:themeColor="text1"/>
        </w:rPr>
        <w:t>R</w:t>
      </w:r>
      <w:r w:rsidRPr="00CF4D08">
        <w:rPr>
          <w:rFonts w:ascii="Times New Roman" w:hAnsi="Times New Roman" w:cs="Times New Roman"/>
          <w:bCs/>
          <w:color w:val="000000" w:themeColor="text1"/>
        </w:rPr>
        <w:t xml:space="preserve">echerche de l’Historial de la Grande Guerre </w:t>
      </w:r>
      <w:r w:rsidR="004C4591" w:rsidRPr="00CF4D08">
        <w:rPr>
          <w:rFonts w:ascii="Times New Roman" w:hAnsi="Times New Roman" w:cs="Times New Roman"/>
          <w:bCs/>
          <w:color w:val="000000" w:themeColor="text1"/>
        </w:rPr>
        <w:t>et de l’Université de Picardie</w:t>
      </w:r>
      <w:r w:rsidR="00000478" w:rsidRPr="00CF4D08">
        <w:rPr>
          <w:rFonts w:ascii="Times New Roman" w:hAnsi="Times New Roman" w:cs="Times New Roman"/>
          <w:bCs/>
          <w:color w:val="000000" w:themeColor="text1"/>
        </w:rPr>
        <w:t xml:space="preserve"> – Jules Verne</w:t>
      </w:r>
      <w:r w:rsidR="004C4591" w:rsidRPr="00CF4D08">
        <w:rPr>
          <w:rFonts w:ascii="Times New Roman" w:hAnsi="Times New Roman" w:cs="Times New Roman"/>
          <w:bCs/>
          <w:color w:val="000000" w:themeColor="text1"/>
        </w:rPr>
        <w:t xml:space="preserve"> </w:t>
      </w:r>
      <w:r w:rsidRPr="00CF4D08">
        <w:rPr>
          <w:rFonts w:ascii="Times New Roman" w:hAnsi="Times New Roman" w:cs="Times New Roman"/>
          <w:bCs/>
          <w:color w:val="000000" w:themeColor="text1"/>
        </w:rPr>
        <w:t xml:space="preserve">(Péronne), l’Institut Historique Allemand (Paris) et le </w:t>
      </w:r>
      <w:proofErr w:type="spellStart"/>
      <w:r w:rsidRPr="00CF4D08">
        <w:rPr>
          <w:rFonts w:ascii="Times New Roman" w:hAnsi="Times New Roman" w:cs="Times New Roman"/>
          <w:bCs/>
          <w:i/>
          <w:iCs/>
          <w:color w:val="000000" w:themeColor="text1"/>
        </w:rPr>
        <w:t>Zentrum</w:t>
      </w:r>
      <w:proofErr w:type="spellEnd"/>
      <w:r w:rsidRPr="00CF4D08">
        <w:rPr>
          <w:rFonts w:ascii="Times New Roman" w:hAnsi="Times New Roman" w:cs="Times New Roman"/>
          <w:bCs/>
          <w:i/>
          <w:iCs/>
          <w:color w:val="000000" w:themeColor="text1"/>
        </w:rPr>
        <w:t xml:space="preserve"> </w:t>
      </w:r>
      <w:proofErr w:type="spellStart"/>
      <w:r w:rsidRPr="00CF4D08">
        <w:rPr>
          <w:rFonts w:ascii="Times New Roman" w:hAnsi="Times New Roman" w:cs="Times New Roman"/>
          <w:bCs/>
          <w:i/>
          <w:iCs/>
          <w:color w:val="000000" w:themeColor="text1"/>
        </w:rPr>
        <w:t>für</w:t>
      </w:r>
      <w:proofErr w:type="spellEnd"/>
      <w:r w:rsidRPr="00CF4D08">
        <w:rPr>
          <w:rFonts w:ascii="Times New Roman" w:hAnsi="Times New Roman" w:cs="Times New Roman"/>
          <w:bCs/>
          <w:i/>
          <w:iCs/>
          <w:color w:val="000000" w:themeColor="text1"/>
        </w:rPr>
        <w:t xml:space="preserve"> </w:t>
      </w:r>
      <w:proofErr w:type="spellStart"/>
      <w:r w:rsidRPr="00CF4D08">
        <w:rPr>
          <w:rFonts w:ascii="Times New Roman" w:hAnsi="Times New Roman" w:cs="Times New Roman"/>
          <w:bCs/>
          <w:i/>
          <w:iCs/>
          <w:color w:val="000000" w:themeColor="text1"/>
        </w:rPr>
        <w:t>Militärgeschichte</w:t>
      </w:r>
      <w:proofErr w:type="spellEnd"/>
      <w:r w:rsidRPr="00CF4D08">
        <w:rPr>
          <w:rFonts w:ascii="Times New Roman" w:hAnsi="Times New Roman" w:cs="Times New Roman"/>
          <w:bCs/>
          <w:i/>
          <w:iCs/>
          <w:color w:val="000000" w:themeColor="text1"/>
        </w:rPr>
        <w:t xml:space="preserve"> </w:t>
      </w:r>
      <w:proofErr w:type="spellStart"/>
      <w:r w:rsidRPr="00CF4D08">
        <w:rPr>
          <w:rFonts w:ascii="Times New Roman" w:hAnsi="Times New Roman" w:cs="Times New Roman"/>
          <w:bCs/>
          <w:i/>
          <w:iCs/>
          <w:color w:val="000000" w:themeColor="text1"/>
        </w:rPr>
        <w:t>und</w:t>
      </w:r>
      <w:proofErr w:type="spellEnd"/>
      <w:r w:rsidRPr="00CF4D08">
        <w:rPr>
          <w:rFonts w:ascii="Times New Roman" w:hAnsi="Times New Roman" w:cs="Times New Roman"/>
          <w:bCs/>
          <w:i/>
          <w:iCs/>
          <w:color w:val="000000" w:themeColor="text1"/>
        </w:rPr>
        <w:t xml:space="preserve"> </w:t>
      </w:r>
      <w:proofErr w:type="spellStart"/>
      <w:r w:rsidRPr="00CF4D08">
        <w:rPr>
          <w:rFonts w:ascii="Times New Roman" w:hAnsi="Times New Roman" w:cs="Times New Roman"/>
          <w:bCs/>
          <w:i/>
          <w:iCs/>
          <w:color w:val="000000" w:themeColor="text1"/>
        </w:rPr>
        <w:t>Sozialwissenschaften</w:t>
      </w:r>
      <w:proofErr w:type="spellEnd"/>
      <w:r w:rsidRPr="00CF4D08">
        <w:rPr>
          <w:rFonts w:ascii="Times New Roman" w:hAnsi="Times New Roman" w:cs="Times New Roman"/>
          <w:bCs/>
          <w:i/>
          <w:iCs/>
          <w:color w:val="000000" w:themeColor="text1"/>
        </w:rPr>
        <w:t xml:space="preserve"> der Bundeswehr</w:t>
      </w:r>
      <w:r w:rsidRPr="00CF4D08">
        <w:rPr>
          <w:rFonts w:ascii="Times New Roman" w:hAnsi="Times New Roman" w:cs="Times New Roman"/>
          <w:bCs/>
          <w:color w:val="000000" w:themeColor="text1"/>
        </w:rPr>
        <w:t xml:space="preserve"> (Potsdam)</w:t>
      </w:r>
      <w:r w:rsidRPr="00CF4D08">
        <w:rPr>
          <w:rFonts w:ascii="Times New Roman" w:hAnsi="Times New Roman" w:cs="Times New Roman"/>
          <w:color w:val="000000" w:themeColor="text1"/>
        </w:rPr>
        <w:t xml:space="preserve"> ont souhaité organiser un colloque scientifique qui interroge l’unité de la séquence du point de vue franco-allemand en centrant la focale sur l’expérience partagée de la défaite. Le colloque aura lieu les 7 et 8 décembre 2020 </w:t>
      </w:r>
      <w:r w:rsidRPr="00CF4D08">
        <w:rPr>
          <w:rFonts w:ascii="Times New Roman" w:hAnsi="Times New Roman" w:cs="Times New Roman"/>
          <w:bCs/>
          <w:color w:val="000000" w:themeColor="text1"/>
        </w:rPr>
        <w:t>au château de Vincennes.</w:t>
      </w:r>
    </w:p>
    <w:p w14:paraId="17D7D1ED" w14:textId="77777777" w:rsidR="00CF4D08" w:rsidRPr="00CF4D08" w:rsidRDefault="00CF4D08" w:rsidP="001F3202">
      <w:pPr>
        <w:ind w:firstLine="708"/>
        <w:jc w:val="both"/>
        <w:rPr>
          <w:rFonts w:ascii="Times New Roman" w:hAnsi="Times New Roman" w:cs="Times New Roman"/>
          <w:bCs/>
          <w:color w:val="000000" w:themeColor="text1"/>
        </w:rPr>
      </w:pPr>
    </w:p>
    <w:p w14:paraId="7ED62746"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Des travaux récents</w:t>
      </w:r>
      <w:r w:rsidRPr="00CF4D08">
        <w:rPr>
          <w:rStyle w:val="Appelnotedebasdep"/>
          <w:rFonts w:ascii="Times New Roman" w:hAnsi="Times New Roman" w:cs="Times New Roman"/>
          <w:color w:val="000000" w:themeColor="text1"/>
        </w:rPr>
        <w:footnoteReference w:id="1"/>
      </w:r>
      <w:r w:rsidRPr="00CF4D08">
        <w:rPr>
          <w:rFonts w:ascii="Times New Roman" w:hAnsi="Times New Roman" w:cs="Times New Roman"/>
          <w:color w:val="000000" w:themeColor="text1"/>
        </w:rPr>
        <w:t xml:space="preserve"> ont montré que l’histoire des années 1870-1945 ne saurait se résumer à une histoire des conflits, </w:t>
      </w:r>
      <w:r w:rsidRPr="00CF4D08">
        <w:rPr>
          <w:rFonts w:ascii="Times New Roman" w:hAnsi="Times New Roman" w:cs="Times New Roman"/>
          <w:bCs/>
          <w:color w:val="000000" w:themeColor="text1"/>
        </w:rPr>
        <w:t>des défaites et des revanches. La guerre et la défaite</w:t>
      </w:r>
      <w:r w:rsidRPr="00CF4D08">
        <w:rPr>
          <w:rFonts w:ascii="Times New Roman" w:hAnsi="Times New Roman" w:cs="Times New Roman"/>
          <w:color w:val="000000" w:themeColor="text1"/>
        </w:rPr>
        <w:t xml:space="preserve"> n’en </w:t>
      </w:r>
      <w:r w:rsidRPr="00CF4D08">
        <w:rPr>
          <w:rFonts w:ascii="Times New Roman" w:hAnsi="Times New Roman" w:cs="Times New Roman"/>
          <w:bCs/>
          <w:color w:val="000000" w:themeColor="text1"/>
        </w:rPr>
        <w:t>représenten</w:t>
      </w:r>
      <w:r w:rsidRPr="00CF4D08">
        <w:rPr>
          <w:rFonts w:ascii="Times New Roman" w:hAnsi="Times New Roman" w:cs="Times New Roman"/>
          <w:color w:val="000000" w:themeColor="text1"/>
        </w:rPr>
        <w:t>t pas moins, pour les contemporains, un horizon des possibles et, parfois, une expérience vécue. Ils sont amenés à y « faire face » que ce soit pour s’y préparer, s’y adapter quand l’événement survient</w:t>
      </w:r>
      <w:r w:rsidRPr="00CF4D08">
        <w:rPr>
          <w:rFonts w:ascii="Times New Roman" w:hAnsi="Times New Roman" w:cs="Times New Roman"/>
          <w:bCs/>
          <w:color w:val="000000" w:themeColor="text1"/>
        </w:rPr>
        <w:t xml:space="preserve">, </w:t>
      </w:r>
      <w:r w:rsidRPr="00CF4D08">
        <w:rPr>
          <w:rFonts w:ascii="Times New Roman" w:hAnsi="Times New Roman" w:cs="Times New Roman"/>
          <w:color w:val="000000" w:themeColor="text1"/>
        </w:rPr>
        <w:t>pour le dépasser et le conjurer une fois la guerre terminée</w:t>
      </w:r>
      <w:r w:rsidRPr="00CF4D08">
        <w:rPr>
          <w:rFonts w:ascii="Times New Roman" w:hAnsi="Times New Roman" w:cs="Times New Roman"/>
          <w:bCs/>
          <w:color w:val="000000" w:themeColor="text1"/>
        </w:rPr>
        <w:t>. Dans cette perspective, deux options dominent qui ne sont pas toujours exclusives l’une de l’autre et qui consistent à préparer soit la revanche, soit le dépassement de la logique d’affrontement</w:t>
      </w:r>
      <w:r w:rsidRPr="00CF4D08">
        <w:rPr>
          <w:rFonts w:ascii="Times New Roman" w:hAnsi="Times New Roman" w:cs="Times New Roman"/>
          <w:color w:val="000000" w:themeColor="text1"/>
        </w:rPr>
        <w:t xml:space="preserve">. Dans un cadre franco-allemand, ce colloque sera donc l’occasion d’explorer </w:t>
      </w:r>
      <w:r w:rsidRPr="00CF4D08">
        <w:rPr>
          <w:rFonts w:ascii="Times New Roman" w:hAnsi="Times New Roman" w:cs="Times New Roman"/>
          <w:bCs/>
          <w:color w:val="000000" w:themeColor="text1"/>
        </w:rPr>
        <w:t>la diversité des attitudes</w:t>
      </w:r>
      <w:r w:rsidRPr="00CF4D08">
        <w:rPr>
          <w:rFonts w:ascii="Times New Roman" w:hAnsi="Times New Roman" w:cs="Times New Roman"/>
          <w:color w:val="000000" w:themeColor="text1"/>
        </w:rPr>
        <w:t xml:space="preserve"> des acteurs tant civils que militaires </w:t>
      </w:r>
      <w:r w:rsidRPr="00CF4D08">
        <w:rPr>
          <w:rFonts w:ascii="Times New Roman" w:hAnsi="Times New Roman" w:cs="Times New Roman"/>
          <w:bCs/>
          <w:color w:val="000000" w:themeColor="text1"/>
        </w:rPr>
        <w:t>face à la défaite,</w:t>
      </w:r>
      <w:r w:rsidRPr="00CF4D08">
        <w:rPr>
          <w:rFonts w:ascii="Times New Roman" w:hAnsi="Times New Roman" w:cs="Times New Roman"/>
          <w:color w:val="000000" w:themeColor="text1"/>
        </w:rPr>
        <w:t xml:space="preserve"> </w:t>
      </w:r>
      <w:r w:rsidRPr="00CF4D08">
        <w:rPr>
          <w:rFonts w:ascii="Times New Roman" w:hAnsi="Times New Roman" w:cs="Times New Roman"/>
          <w:bCs/>
          <w:color w:val="000000" w:themeColor="text1"/>
        </w:rPr>
        <w:t>aussi bien la sienne ou celle de l’autre,</w:t>
      </w:r>
      <w:r w:rsidRPr="00CF4D08">
        <w:rPr>
          <w:rFonts w:ascii="Times New Roman" w:hAnsi="Times New Roman" w:cs="Times New Roman"/>
          <w:color w:val="000000" w:themeColor="text1"/>
        </w:rPr>
        <w:t xml:space="preserve"> entre 1870 et 1945. Il s’agit de saisir le rapport à la violence de la défaite aussi bien à l’échelle de l’individu et de l’intime qu’à celle des institutions militaires ou non, locales, nationales et impériales, en étant attentif aux interactions entre ces dimensions. En outre, </w:t>
      </w:r>
    </w:p>
    <w:p w14:paraId="78ADA0C3" w14:textId="77777777" w:rsidR="001F3202" w:rsidRPr="00CF4D08" w:rsidRDefault="001F3202" w:rsidP="001F3202">
      <w:pPr>
        <w:ind w:firstLine="708"/>
        <w:jc w:val="both"/>
        <w:rPr>
          <w:rFonts w:ascii="Times New Roman" w:hAnsi="Times New Roman" w:cs="Times New Roman"/>
          <w:bCs/>
          <w:color w:val="000000" w:themeColor="text1"/>
        </w:rPr>
      </w:pPr>
      <w:r w:rsidRPr="00CF4D08">
        <w:rPr>
          <w:rFonts w:ascii="Times New Roman" w:hAnsi="Times New Roman" w:cs="Times New Roman"/>
          <w:color w:val="000000" w:themeColor="text1"/>
        </w:rPr>
        <w:t xml:space="preserve">De 1870 à 1945, la répétition des revers subis ou infligés permet également d’aborder la façon dont l’expérience d’un conflit est plus ou moins réinvestie au cours du suivant, consciemment ou non. </w:t>
      </w:r>
      <w:r w:rsidRPr="00CF4D08">
        <w:rPr>
          <w:rFonts w:ascii="Times New Roman" w:hAnsi="Times New Roman" w:cs="Times New Roman"/>
          <w:bCs/>
          <w:color w:val="000000" w:themeColor="text1"/>
        </w:rPr>
        <w:t>Les acteurs sociaux inventent-ils alors une nouvelle « </w:t>
      </w:r>
      <w:r w:rsidRPr="00CF4D08">
        <w:rPr>
          <w:rFonts w:ascii="Times New Roman" w:hAnsi="Times New Roman" w:cs="Times New Roman"/>
          <w:bCs/>
          <w:i/>
          <w:color w:val="000000" w:themeColor="text1"/>
        </w:rPr>
        <w:t>culture de la défaite</w:t>
      </w:r>
      <w:r w:rsidRPr="00CF4D08">
        <w:rPr>
          <w:rFonts w:ascii="Times New Roman" w:hAnsi="Times New Roman" w:cs="Times New Roman"/>
          <w:bCs/>
          <w:color w:val="000000" w:themeColor="text1"/>
        </w:rPr>
        <w:t xml:space="preserve"> », pour reprendre l’expression de Wolfgang </w:t>
      </w:r>
      <w:proofErr w:type="spellStart"/>
      <w:r w:rsidRPr="00CF4D08">
        <w:rPr>
          <w:rFonts w:ascii="Times New Roman" w:hAnsi="Times New Roman" w:cs="Times New Roman"/>
          <w:bCs/>
          <w:color w:val="000000" w:themeColor="text1"/>
        </w:rPr>
        <w:t>Schivelbusch</w:t>
      </w:r>
      <w:proofErr w:type="spellEnd"/>
      <w:r w:rsidRPr="00CF4D08">
        <w:rPr>
          <w:rStyle w:val="Appelnotedebasdep"/>
          <w:rFonts w:ascii="Times New Roman" w:hAnsi="Times New Roman" w:cs="Times New Roman"/>
          <w:bCs/>
          <w:color w:val="000000" w:themeColor="text1"/>
        </w:rPr>
        <w:footnoteReference w:id="2"/>
      </w:r>
      <w:r w:rsidRPr="00CF4D08">
        <w:rPr>
          <w:rFonts w:ascii="Times New Roman" w:hAnsi="Times New Roman" w:cs="Times New Roman"/>
          <w:bCs/>
          <w:color w:val="000000" w:themeColor="text1"/>
        </w:rPr>
        <w:t xml:space="preserve"> ou au contraire vivent-ils le surgissement de la défaite dans leur vie comme un moment exceptionnel, ou encore comme une </w:t>
      </w:r>
      <w:r w:rsidRPr="00CF4D08">
        <w:rPr>
          <w:rFonts w:ascii="Times New Roman" w:hAnsi="Times New Roman" w:cs="Times New Roman"/>
          <w:bCs/>
          <w:i/>
          <w:color w:val="000000" w:themeColor="text1"/>
        </w:rPr>
        <w:t>initiation</w:t>
      </w:r>
      <w:r w:rsidRPr="00CF4D08">
        <w:rPr>
          <w:rFonts w:ascii="Times New Roman" w:hAnsi="Times New Roman" w:cs="Times New Roman"/>
          <w:bCs/>
          <w:color w:val="000000" w:themeColor="text1"/>
        </w:rPr>
        <w:t xml:space="preserve"> qui donne un sens à ce qui a précédé et/ou à leur existence future ? </w:t>
      </w:r>
    </w:p>
    <w:p w14:paraId="37FD4E41" w14:textId="77777777" w:rsidR="001F3202" w:rsidRPr="00CF4D08" w:rsidRDefault="001F3202" w:rsidP="001F3202">
      <w:pPr>
        <w:ind w:firstLine="708"/>
        <w:jc w:val="both"/>
        <w:rPr>
          <w:rFonts w:ascii="Times New Roman" w:hAnsi="Times New Roman" w:cs="Times New Roman"/>
          <w:bCs/>
        </w:rPr>
      </w:pPr>
      <w:r w:rsidRPr="00CF4D08">
        <w:rPr>
          <w:rFonts w:ascii="Times New Roman" w:hAnsi="Times New Roman" w:cs="Times New Roman"/>
          <w:bCs/>
        </w:rPr>
        <w:t xml:space="preserve">Ajoutons enfin que la période 1870-1945 voit les puissances européennes s’étendre sur d’autres continents puis les systèmes de domination coloniale entrer en crise. Les défaites militaires sur le sol européen acquièrent ainsi rapidement une dimension mondiale et les populations colonisées font l’expérience concrète des recompositions impériales qu’elles provoquent. </w:t>
      </w:r>
    </w:p>
    <w:p w14:paraId="0BAFDF5F" w14:textId="77777777" w:rsidR="001F3202" w:rsidRPr="00CF4D08" w:rsidRDefault="001F3202" w:rsidP="001F3202">
      <w:pPr>
        <w:rPr>
          <w:rFonts w:ascii="Times New Roman" w:hAnsi="Times New Roman" w:cs="Times New Roman"/>
          <w:color w:val="000000" w:themeColor="text1"/>
        </w:rPr>
      </w:pPr>
    </w:p>
    <w:p w14:paraId="7518E51F" w14:textId="0D2A819E" w:rsidR="001F3202" w:rsidRDefault="001F3202" w:rsidP="001F3202">
      <w:pPr>
        <w:jc w:val="both"/>
        <w:rPr>
          <w:rFonts w:ascii="Times New Roman" w:hAnsi="Times New Roman" w:cs="Times New Roman"/>
          <w:color w:val="000000" w:themeColor="text1"/>
        </w:rPr>
      </w:pPr>
    </w:p>
    <w:p w14:paraId="32BB3B1A" w14:textId="53D730D5" w:rsidR="00CF4D08" w:rsidRDefault="00CF4D08" w:rsidP="001F3202">
      <w:pPr>
        <w:jc w:val="both"/>
        <w:rPr>
          <w:rFonts w:ascii="Times New Roman" w:hAnsi="Times New Roman" w:cs="Times New Roman"/>
          <w:color w:val="000000" w:themeColor="text1"/>
        </w:rPr>
      </w:pPr>
    </w:p>
    <w:p w14:paraId="017933CC" w14:textId="77777777" w:rsidR="00CF4D08" w:rsidRPr="00CF4D08" w:rsidRDefault="00CF4D08" w:rsidP="001F3202">
      <w:pPr>
        <w:jc w:val="both"/>
        <w:rPr>
          <w:rFonts w:ascii="Times New Roman" w:hAnsi="Times New Roman" w:cs="Times New Roman"/>
          <w:color w:val="000000" w:themeColor="text1"/>
        </w:rPr>
      </w:pPr>
    </w:p>
    <w:p w14:paraId="571ADD82" w14:textId="77777777" w:rsidR="001F3202" w:rsidRPr="00CF4D08" w:rsidRDefault="001F3202" w:rsidP="001F3202">
      <w:pPr>
        <w:jc w:val="both"/>
        <w:rPr>
          <w:rFonts w:ascii="Times New Roman" w:hAnsi="Times New Roman" w:cs="Times New Roman"/>
          <w:color w:val="000000" w:themeColor="text1"/>
        </w:rPr>
      </w:pPr>
      <w:r w:rsidRPr="00CF4D08">
        <w:rPr>
          <w:rFonts w:ascii="Times New Roman" w:hAnsi="Times New Roman" w:cs="Times New Roman"/>
          <w:bCs/>
          <w:color w:val="000000" w:themeColor="text1"/>
        </w:rPr>
        <w:t>Quatre</w:t>
      </w:r>
      <w:r w:rsidRPr="00CF4D08">
        <w:rPr>
          <w:rFonts w:ascii="Times New Roman" w:hAnsi="Times New Roman" w:cs="Times New Roman"/>
          <w:color w:val="000000" w:themeColor="text1"/>
        </w:rPr>
        <w:t xml:space="preserve"> grandes thématiques ont été retenues :</w:t>
      </w:r>
    </w:p>
    <w:p w14:paraId="3CB098D2" w14:textId="77777777" w:rsidR="001F3202" w:rsidRPr="00CF4D08" w:rsidRDefault="001F3202" w:rsidP="001F3202">
      <w:pPr>
        <w:jc w:val="both"/>
        <w:rPr>
          <w:rFonts w:ascii="Times New Roman" w:hAnsi="Times New Roman" w:cs="Times New Roman"/>
          <w:b/>
          <w:color w:val="000000" w:themeColor="text1"/>
        </w:rPr>
      </w:pPr>
    </w:p>
    <w:p w14:paraId="5DE38CE6" w14:textId="77777777" w:rsidR="001F3202" w:rsidRPr="00CF4D08" w:rsidRDefault="001F3202" w:rsidP="001F3202">
      <w:pPr>
        <w:jc w:val="center"/>
        <w:rPr>
          <w:rFonts w:ascii="Times New Roman" w:hAnsi="Times New Roman" w:cs="Times New Roman"/>
          <w:b/>
          <w:bCs/>
          <w:strike/>
          <w:color w:val="632423" w:themeColor="accent2" w:themeShade="80"/>
        </w:rPr>
      </w:pPr>
      <w:r w:rsidRPr="00CF4D08">
        <w:rPr>
          <w:rFonts w:ascii="Times New Roman" w:hAnsi="Times New Roman" w:cs="Times New Roman"/>
          <w:b/>
          <w:bCs/>
        </w:rPr>
        <w:t xml:space="preserve">Envisager </w:t>
      </w:r>
      <w:r w:rsidRPr="00CF4D08">
        <w:rPr>
          <w:rFonts w:ascii="Times New Roman" w:hAnsi="Times New Roman" w:cs="Times New Roman"/>
          <w:b/>
          <w:bCs/>
          <w:color w:val="000000" w:themeColor="text1"/>
        </w:rPr>
        <w:t xml:space="preserve">la défaite </w:t>
      </w:r>
    </w:p>
    <w:p w14:paraId="7DA140DF" w14:textId="77777777" w:rsidR="001F3202" w:rsidRPr="00CF4D08" w:rsidRDefault="001F3202" w:rsidP="001F3202">
      <w:pPr>
        <w:ind w:firstLine="708"/>
        <w:jc w:val="both"/>
        <w:rPr>
          <w:rFonts w:ascii="Times New Roman" w:hAnsi="Times New Roman" w:cs="Times New Roman"/>
          <w:color w:val="632423" w:themeColor="accent2" w:themeShade="80"/>
        </w:rPr>
      </w:pPr>
    </w:p>
    <w:p w14:paraId="2E42ABBD"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Au début des conflits, la défaite est rarement imaginée. La victoire au contraire est préparée notamment à travers la réflexion sur les buts de guerre. Pour la France, en 1870-71 et 1940, pour l’Allemagne en 1918 puis 1945, faire face à la </w:t>
      </w:r>
      <w:r w:rsidRPr="00CF4D08">
        <w:rPr>
          <w:rFonts w:ascii="Times New Roman" w:hAnsi="Times New Roman" w:cs="Times New Roman"/>
          <w:bCs/>
          <w:color w:val="000000" w:themeColor="text1"/>
        </w:rPr>
        <w:t>défaite</w:t>
      </w:r>
      <w:r w:rsidRPr="00CF4D08">
        <w:rPr>
          <w:rFonts w:ascii="Times New Roman" w:hAnsi="Times New Roman" w:cs="Times New Roman"/>
          <w:color w:val="000000" w:themeColor="text1"/>
        </w:rPr>
        <w:t xml:space="preserve">, c’est par conséquent d’abord devoir faire face à une </w:t>
      </w:r>
      <w:r w:rsidRPr="00CF4D08">
        <w:rPr>
          <w:rFonts w:ascii="Times New Roman" w:hAnsi="Times New Roman" w:cs="Times New Roman"/>
          <w:i/>
          <w:color w:val="000000" w:themeColor="text1"/>
        </w:rPr>
        <w:t>issue inattendue</w:t>
      </w:r>
      <w:r w:rsidRPr="00CF4D08">
        <w:rPr>
          <w:rFonts w:ascii="Times New Roman" w:hAnsi="Times New Roman" w:cs="Times New Roman"/>
          <w:color w:val="000000" w:themeColor="text1"/>
        </w:rPr>
        <w:t xml:space="preserve"> de la guerre au sens propre du terme, une fin inenvisageable et </w:t>
      </w:r>
      <w:proofErr w:type="spellStart"/>
      <w:r w:rsidRPr="00CF4D08">
        <w:rPr>
          <w:rFonts w:ascii="Times New Roman" w:hAnsi="Times New Roman" w:cs="Times New Roman"/>
          <w:color w:val="000000" w:themeColor="text1"/>
        </w:rPr>
        <w:t>inenvisagée</w:t>
      </w:r>
      <w:proofErr w:type="spellEnd"/>
      <w:r w:rsidRPr="00CF4D08">
        <w:rPr>
          <w:rFonts w:ascii="Times New Roman" w:hAnsi="Times New Roman" w:cs="Times New Roman"/>
          <w:color w:val="000000" w:themeColor="text1"/>
        </w:rPr>
        <w:t xml:space="preserve">. Pendant les conflits, les anticipations de l’avenir sont généralement des moyens de se rassurer en se projetant dans des sorties de guerre victorieuses. Dès lors, la défaite peut-elle être envisagée </w:t>
      </w:r>
      <w:r w:rsidRPr="00CF4D08">
        <w:rPr>
          <w:rFonts w:ascii="Times New Roman" w:hAnsi="Times New Roman" w:cs="Times New Roman"/>
          <w:bCs/>
          <w:color w:val="000000" w:themeColor="text1"/>
        </w:rPr>
        <w:t>avant et</w:t>
      </w:r>
      <w:r w:rsidRPr="00CF4D08">
        <w:rPr>
          <w:rFonts w:ascii="Times New Roman" w:hAnsi="Times New Roman" w:cs="Times New Roman"/>
          <w:color w:val="000000" w:themeColor="text1"/>
        </w:rPr>
        <w:t xml:space="preserve"> pendant le conflit </w:t>
      </w:r>
      <w:r w:rsidRPr="00CF4D08">
        <w:rPr>
          <w:rFonts w:ascii="Times New Roman" w:hAnsi="Times New Roman" w:cs="Times New Roman"/>
          <w:bCs/>
          <w:color w:val="000000" w:themeColor="text1"/>
        </w:rPr>
        <w:t>?</w:t>
      </w:r>
    </w:p>
    <w:p w14:paraId="4EC34DE5"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La défaite se cristallise alors plus ou moins rapidement et remet radicalement en cause les attentes des différents acteurs. Comment combattants et non-combattants font face à cet événement ? </w:t>
      </w:r>
      <w:r w:rsidRPr="00CF4D08">
        <w:rPr>
          <w:rFonts w:ascii="Times New Roman" w:hAnsi="Times New Roman" w:cs="Times New Roman"/>
          <w:bCs/>
          <w:color w:val="000000" w:themeColor="text1"/>
        </w:rPr>
        <w:t>C</w:t>
      </w:r>
      <w:r w:rsidRPr="00CF4D08">
        <w:rPr>
          <w:rFonts w:ascii="Times New Roman" w:hAnsi="Times New Roman" w:cs="Times New Roman"/>
          <w:color w:val="000000" w:themeColor="text1"/>
        </w:rPr>
        <w:t xml:space="preserve">omment l‘anticipent-ils ? Comment en prennent-ils la mesure et y réagissent-ils lors des trois guerres ? </w:t>
      </w:r>
    </w:p>
    <w:p w14:paraId="35903B09"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bCs/>
          <w:color w:val="000000" w:themeColor="text1"/>
        </w:rPr>
        <w:t>La défaite confère donc le plus souvent un tour</w:t>
      </w:r>
      <w:r w:rsidRPr="00CF4D08">
        <w:rPr>
          <w:rFonts w:ascii="Times New Roman" w:hAnsi="Times New Roman" w:cs="Times New Roman"/>
          <w:color w:val="000000" w:themeColor="text1"/>
        </w:rPr>
        <w:t xml:space="preserve"> </w:t>
      </w:r>
      <w:r w:rsidRPr="00CF4D08">
        <w:rPr>
          <w:rFonts w:ascii="Times New Roman" w:hAnsi="Times New Roman" w:cs="Times New Roman"/>
          <w:bCs/>
          <w:color w:val="000000" w:themeColor="text1"/>
        </w:rPr>
        <w:t>surprenant et improvisé</w:t>
      </w:r>
      <w:r w:rsidRPr="00CF4D08">
        <w:rPr>
          <w:rFonts w:ascii="Times New Roman" w:hAnsi="Times New Roman" w:cs="Times New Roman"/>
          <w:color w:val="000000" w:themeColor="text1"/>
        </w:rPr>
        <w:t xml:space="preserve"> à un face-à-face avec l’ennemi plus ou moins anticipé.</w:t>
      </w:r>
      <w:r w:rsidRPr="00CF4D08">
        <w:rPr>
          <w:rFonts w:ascii="Times New Roman" w:hAnsi="Times New Roman" w:cs="Times New Roman"/>
          <w:bCs/>
          <w:color w:val="000000" w:themeColor="text1"/>
        </w:rPr>
        <w:t xml:space="preserve"> Elle conduit les acteurs tant civils que militaires à s’adapter à des dangers inattendus et à des espaces de combat imprévus. </w:t>
      </w:r>
    </w:p>
    <w:p w14:paraId="793590DF"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L’ampleur des revers subis et de la faillite des institutions en passe d’être vaincues, peuvent être aussi l’occasion pour des communautés locales de s’affirmer dans la gestion de la Cité mais aussi parfois dans la conduite des opérations, que ce soit à la demande du pouvoir central, de l’ennemi ou de leur propre initiative. </w:t>
      </w:r>
    </w:p>
    <w:p w14:paraId="1703BB97"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bCs/>
          <w:color w:val="000000" w:themeColor="text1"/>
        </w:rPr>
        <w:t>En lien avec la délégitimation des autorités civiles et militaires, elle peut aussi générer,</w:t>
      </w:r>
      <w:r w:rsidRPr="00CF4D08">
        <w:rPr>
          <w:rFonts w:ascii="Times New Roman" w:hAnsi="Times New Roman" w:cs="Times New Roman"/>
          <w:color w:val="000000" w:themeColor="text1"/>
        </w:rPr>
        <w:t xml:space="preserve"> au cœur même des hostilités, l’expression du refus de la violence guerrière – parfois stigmatisé sous le terme de </w:t>
      </w:r>
      <w:r w:rsidRPr="00CF4D08">
        <w:rPr>
          <w:rFonts w:ascii="Times New Roman" w:hAnsi="Times New Roman" w:cs="Times New Roman"/>
          <w:i/>
          <w:color w:val="000000" w:themeColor="text1"/>
        </w:rPr>
        <w:t>défaitisme</w:t>
      </w:r>
      <w:r w:rsidRPr="00CF4D08">
        <w:rPr>
          <w:rFonts w:ascii="Times New Roman" w:hAnsi="Times New Roman" w:cs="Times New Roman"/>
          <w:color w:val="000000" w:themeColor="text1"/>
        </w:rPr>
        <w:t xml:space="preserve"> – </w:t>
      </w:r>
      <w:r w:rsidRPr="00CF4D08">
        <w:rPr>
          <w:rFonts w:ascii="Times New Roman" w:hAnsi="Times New Roman" w:cs="Times New Roman"/>
          <w:bCs/>
          <w:color w:val="000000" w:themeColor="text1"/>
        </w:rPr>
        <w:t xml:space="preserve">voire conduire à une refondation des structures sociales et politiques sous la pression de l’ennemi en vue d’éviter la défaite. </w:t>
      </w:r>
      <w:r w:rsidRPr="00CF4D08">
        <w:rPr>
          <w:rFonts w:ascii="Times New Roman" w:hAnsi="Times New Roman" w:cs="Times New Roman"/>
          <w:color w:val="000000" w:themeColor="text1"/>
        </w:rPr>
        <w:t xml:space="preserve">La remise en cause des institutions, civiles comme militaires, peut ainsi être considérée comme une opportunité et renverser un ordre établi et déboucher sur des changements de régime et des moments ou </w:t>
      </w:r>
      <w:r w:rsidRPr="00CF4D08">
        <w:rPr>
          <w:rFonts w:ascii="Times New Roman" w:hAnsi="Times New Roman" w:cs="Times New Roman"/>
          <w:i/>
          <w:color w:val="000000" w:themeColor="text1"/>
        </w:rPr>
        <w:t>cycles révolutionnaires ou contre-révolutionnaires</w:t>
      </w:r>
      <w:r w:rsidRPr="00CF4D08">
        <w:rPr>
          <w:rFonts w:ascii="Times New Roman" w:hAnsi="Times New Roman" w:cs="Times New Roman"/>
          <w:color w:val="000000" w:themeColor="text1"/>
        </w:rPr>
        <w:t xml:space="preserve">, préparés en amont ou dans la temporalité même du surgissement de la défaite. </w:t>
      </w:r>
    </w:p>
    <w:p w14:paraId="26556CB1" w14:textId="77777777" w:rsidR="001F3202" w:rsidRPr="00CF4D08" w:rsidRDefault="001F3202" w:rsidP="001E542F">
      <w:pPr>
        <w:rPr>
          <w:rFonts w:ascii="Times New Roman" w:hAnsi="Times New Roman" w:cs="Times New Roman"/>
          <w:bCs/>
          <w:color w:val="000000" w:themeColor="text1"/>
        </w:rPr>
      </w:pPr>
    </w:p>
    <w:p w14:paraId="36377C72" w14:textId="208FE5AB" w:rsidR="001F3202" w:rsidRPr="00CF4D08" w:rsidRDefault="001F3202" w:rsidP="001F3202">
      <w:pPr>
        <w:rPr>
          <w:rFonts w:ascii="Times New Roman" w:hAnsi="Times New Roman" w:cs="Times New Roman"/>
          <w:bCs/>
          <w:color w:val="000000" w:themeColor="text1"/>
        </w:rPr>
      </w:pPr>
    </w:p>
    <w:p w14:paraId="4B6A9874" w14:textId="536770FB" w:rsidR="001B2550" w:rsidRPr="00CF4D08" w:rsidRDefault="001B2550" w:rsidP="001F3202">
      <w:pPr>
        <w:rPr>
          <w:rFonts w:ascii="Times New Roman" w:hAnsi="Times New Roman" w:cs="Times New Roman"/>
          <w:bCs/>
          <w:color w:val="000000" w:themeColor="text1"/>
        </w:rPr>
      </w:pPr>
    </w:p>
    <w:p w14:paraId="42663B07" w14:textId="77777777" w:rsidR="001B2550" w:rsidRPr="00CF4D08" w:rsidRDefault="001B2550" w:rsidP="001F3202">
      <w:pPr>
        <w:rPr>
          <w:rFonts w:ascii="Times New Roman" w:hAnsi="Times New Roman" w:cs="Times New Roman"/>
          <w:bCs/>
          <w:color w:val="000000" w:themeColor="text1"/>
        </w:rPr>
      </w:pPr>
    </w:p>
    <w:p w14:paraId="09ADF975" w14:textId="77777777" w:rsidR="001F3202" w:rsidRPr="00CF4D08" w:rsidRDefault="001F3202" w:rsidP="001F3202">
      <w:pPr>
        <w:jc w:val="center"/>
        <w:rPr>
          <w:rFonts w:ascii="Times New Roman" w:hAnsi="Times New Roman" w:cs="Times New Roman"/>
          <w:b/>
          <w:bCs/>
          <w:color w:val="000000" w:themeColor="text1"/>
        </w:rPr>
      </w:pPr>
      <w:r w:rsidRPr="00CF4D08">
        <w:rPr>
          <w:rFonts w:ascii="Times New Roman" w:hAnsi="Times New Roman" w:cs="Times New Roman"/>
          <w:b/>
          <w:bCs/>
          <w:color w:val="000000" w:themeColor="text1"/>
        </w:rPr>
        <w:t>Vivre la défaite</w:t>
      </w:r>
    </w:p>
    <w:p w14:paraId="7247C163" w14:textId="77777777" w:rsidR="001F3202" w:rsidRPr="00CF4D08" w:rsidRDefault="001F3202" w:rsidP="001F3202">
      <w:pPr>
        <w:rPr>
          <w:rFonts w:ascii="Times New Roman" w:hAnsi="Times New Roman" w:cs="Times New Roman"/>
          <w:bCs/>
          <w:color w:val="000000" w:themeColor="text1"/>
        </w:rPr>
      </w:pPr>
    </w:p>
    <w:p w14:paraId="45D2E288" w14:textId="77777777" w:rsidR="001F3202" w:rsidRPr="00CF4D08" w:rsidRDefault="001F3202" w:rsidP="001F3202">
      <w:pPr>
        <w:jc w:val="both"/>
        <w:rPr>
          <w:rFonts w:ascii="Times New Roman" w:hAnsi="Times New Roman" w:cs="Times New Roman"/>
          <w:bCs/>
          <w:color w:val="00B050"/>
        </w:rPr>
      </w:pPr>
      <w:r w:rsidRPr="00CF4D08">
        <w:rPr>
          <w:rFonts w:ascii="Times New Roman" w:hAnsi="Times New Roman" w:cs="Times New Roman"/>
          <w:bCs/>
          <w:color w:val="000000" w:themeColor="text1"/>
        </w:rPr>
        <w:tab/>
        <w:t xml:space="preserve">Le second axe des travaux sera consacré plus précisément aux moments de la fin des conflits lorsque la défaite est </w:t>
      </w:r>
      <w:r w:rsidRPr="00CF4D08">
        <w:rPr>
          <w:rFonts w:ascii="Times New Roman" w:hAnsi="Times New Roman" w:cs="Times New Roman"/>
          <w:bCs/>
          <w:i/>
          <w:color w:val="000000" w:themeColor="text1"/>
        </w:rPr>
        <w:t>consommée</w:t>
      </w:r>
      <w:r w:rsidRPr="00CF4D08">
        <w:rPr>
          <w:rFonts w:ascii="Times New Roman" w:hAnsi="Times New Roman" w:cs="Times New Roman"/>
          <w:bCs/>
          <w:color w:val="000000" w:themeColor="text1"/>
        </w:rPr>
        <w:t xml:space="preserve">. Comment, entre 1870 et 1945, individus (combattants et non-combattants, hommes, femmes et enfants), groupes sociaux, institutions font-ils face – ou non – à </w:t>
      </w:r>
      <w:r w:rsidRPr="00CF4D08">
        <w:rPr>
          <w:rFonts w:ascii="Times New Roman" w:hAnsi="Times New Roman" w:cs="Times New Roman"/>
          <w:bCs/>
          <w:i/>
          <w:color w:val="000000" w:themeColor="text1"/>
        </w:rPr>
        <w:t>l’expérience de l’effondrement</w:t>
      </w:r>
      <w:r w:rsidRPr="00CF4D08">
        <w:rPr>
          <w:rFonts w:ascii="Times New Roman" w:hAnsi="Times New Roman" w:cs="Times New Roman"/>
          <w:bCs/>
          <w:color w:val="000000" w:themeColor="text1"/>
        </w:rPr>
        <w:t xml:space="preserve"> que représente la défaite ? </w:t>
      </w:r>
      <w:r w:rsidRPr="00CF4D08">
        <w:rPr>
          <w:rFonts w:ascii="Times New Roman" w:hAnsi="Times New Roman" w:cs="Times New Roman"/>
          <w:bCs/>
        </w:rPr>
        <w:t xml:space="preserve">Les cadres et les groupes militaires sont ébranlés voire fracturés sous le coup de la défaite. La légitimité et la compétence du commandement sont ainsi mises en causes alors que même l’urgence du moment conduit les autorités militaires à s’interroger sur les opérations qu’elles sont encore en mesure de mener (retraite, contre-attaque, guerre de siège, etc.). Simultanément, maintenir la discipline et la cohésion d’une troupe vaincue devient une gageure pour laquelle officiers et sous-officiers ne sont ni formés ni préparés. </w:t>
      </w:r>
    </w:p>
    <w:p w14:paraId="46496714" w14:textId="77777777" w:rsidR="001F3202" w:rsidRPr="00CF4D08" w:rsidRDefault="001F3202" w:rsidP="001F3202">
      <w:pPr>
        <w:ind w:firstLine="708"/>
        <w:jc w:val="both"/>
        <w:rPr>
          <w:rFonts w:ascii="Times New Roman" w:hAnsi="Times New Roman" w:cs="Times New Roman"/>
          <w:bCs/>
          <w:color w:val="000000" w:themeColor="text1"/>
        </w:rPr>
      </w:pPr>
      <w:r w:rsidRPr="00CF4D08">
        <w:rPr>
          <w:rFonts w:ascii="Times New Roman" w:hAnsi="Times New Roman" w:cs="Times New Roman"/>
          <w:bCs/>
          <w:color w:val="000000" w:themeColor="text1"/>
        </w:rPr>
        <w:t xml:space="preserve">Les </w:t>
      </w:r>
      <w:r w:rsidRPr="00CF4D08">
        <w:rPr>
          <w:rFonts w:ascii="Times New Roman" w:hAnsi="Times New Roman" w:cs="Times New Roman"/>
          <w:bCs/>
          <w:i/>
          <w:color w:val="000000" w:themeColor="text1"/>
        </w:rPr>
        <w:t>émotions de la défaite</w:t>
      </w:r>
      <w:r w:rsidRPr="00CF4D08">
        <w:rPr>
          <w:rFonts w:ascii="Times New Roman" w:hAnsi="Times New Roman" w:cs="Times New Roman"/>
          <w:bCs/>
          <w:color w:val="000000" w:themeColor="text1"/>
        </w:rPr>
        <w:t xml:space="preserve"> (dépit, dépression et trauma, débouchant parfois sur des suicides, refus, déni, mais également soulagement, sentiment de libération, voire joie…) dans le cadre d’une histoire des sensibilités, pourront par exemple être explorées dans cette partie.</w:t>
      </w:r>
    </w:p>
    <w:p w14:paraId="090444C8" w14:textId="77777777" w:rsidR="001F3202" w:rsidRPr="00CF4D08" w:rsidRDefault="001F3202" w:rsidP="001F3202">
      <w:pPr>
        <w:jc w:val="both"/>
        <w:rPr>
          <w:rFonts w:ascii="Times New Roman" w:hAnsi="Times New Roman" w:cs="Times New Roman"/>
          <w:bCs/>
          <w:color w:val="000000" w:themeColor="text1"/>
        </w:rPr>
      </w:pPr>
      <w:r w:rsidRPr="00CF4D08">
        <w:rPr>
          <w:rFonts w:ascii="Times New Roman" w:hAnsi="Times New Roman" w:cs="Times New Roman"/>
          <w:bCs/>
          <w:color w:val="000000" w:themeColor="text1"/>
        </w:rPr>
        <w:lastRenderedPageBreak/>
        <w:tab/>
        <w:t xml:space="preserve">On ne manquera pas non plus de réfléchir sur le lien entre la nature et la longueur des hostilités et l’expérience de la défaite. La radicalisation de la violence au cours de la période et le processus de totalisation qui l’accompagne entre 1870 et 1945 ont-ils des implications sur la manière de vivre les défaites successives. À guerre totale correspond-il une </w:t>
      </w:r>
      <w:r w:rsidRPr="00CF4D08">
        <w:rPr>
          <w:rFonts w:ascii="Times New Roman" w:hAnsi="Times New Roman" w:cs="Times New Roman"/>
          <w:bCs/>
          <w:i/>
          <w:color w:val="000000" w:themeColor="text1"/>
        </w:rPr>
        <w:t>défaite totale</w:t>
      </w:r>
      <w:r w:rsidRPr="00CF4D08">
        <w:rPr>
          <w:rFonts w:ascii="Times New Roman" w:hAnsi="Times New Roman" w:cs="Times New Roman"/>
          <w:bCs/>
          <w:color w:val="000000" w:themeColor="text1"/>
        </w:rPr>
        <w:t> ?</w:t>
      </w:r>
    </w:p>
    <w:p w14:paraId="03CF7052" w14:textId="77777777" w:rsidR="001F3202" w:rsidRPr="00CF4D08" w:rsidRDefault="001F3202" w:rsidP="001F3202">
      <w:pPr>
        <w:jc w:val="both"/>
        <w:rPr>
          <w:rFonts w:ascii="Times New Roman" w:hAnsi="Times New Roman" w:cs="Times New Roman"/>
          <w:color w:val="632423" w:themeColor="accent2" w:themeShade="80"/>
        </w:rPr>
      </w:pPr>
      <w:r w:rsidRPr="00CF4D08">
        <w:rPr>
          <w:rFonts w:ascii="Times New Roman" w:hAnsi="Times New Roman" w:cs="Times New Roman"/>
          <w:bCs/>
          <w:color w:val="000000" w:themeColor="text1"/>
        </w:rPr>
        <w:tab/>
        <w:t xml:space="preserve">Enfin on s’attachera également à problématiser la temporalité du </w:t>
      </w:r>
      <w:r w:rsidRPr="00CF4D08">
        <w:rPr>
          <w:rFonts w:ascii="Times New Roman" w:hAnsi="Times New Roman" w:cs="Times New Roman"/>
          <w:bCs/>
          <w:i/>
          <w:color w:val="000000" w:themeColor="text1"/>
        </w:rPr>
        <w:t>moment défaite</w:t>
      </w:r>
      <w:r w:rsidRPr="00CF4D08">
        <w:rPr>
          <w:rFonts w:ascii="Times New Roman" w:hAnsi="Times New Roman" w:cs="Times New Roman"/>
          <w:bCs/>
          <w:color w:val="000000" w:themeColor="text1"/>
        </w:rPr>
        <w:t>. À partir de quand commence l’</w:t>
      </w:r>
      <w:r w:rsidRPr="00CF4D08">
        <w:rPr>
          <w:rFonts w:ascii="Times New Roman" w:hAnsi="Times New Roman" w:cs="Times New Roman"/>
          <w:bCs/>
          <w:i/>
          <w:color w:val="000000" w:themeColor="text1"/>
        </w:rPr>
        <w:t xml:space="preserve">expérience de la </w:t>
      </w:r>
      <w:r w:rsidRPr="00CF4D08">
        <w:rPr>
          <w:rFonts w:ascii="Times New Roman" w:hAnsi="Times New Roman" w:cs="Times New Roman"/>
          <w:bCs/>
          <w:color w:val="000000" w:themeColor="text1"/>
        </w:rPr>
        <w:t xml:space="preserve">défaite et quand se termine-t-elle ?  Sociétés et individus vivent-ils la défaite sur le temps court ou sur le temps long ? </w:t>
      </w:r>
      <w:r w:rsidRPr="00CF4D08">
        <w:rPr>
          <w:rFonts w:ascii="Times New Roman" w:hAnsi="Times New Roman" w:cs="Times New Roman"/>
          <w:color w:val="000000" w:themeColor="text1"/>
        </w:rPr>
        <w:t>Comment les acteurs sociaux se pensent-ils « dans la</w:t>
      </w:r>
      <w:r w:rsidRPr="00CF4D08">
        <w:rPr>
          <w:rFonts w:ascii="Times New Roman" w:hAnsi="Times New Roman" w:cs="Times New Roman"/>
          <w:bCs/>
          <w:color w:val="000000" w:themeColor="text1"/>
        </w:rPr>
        <w:t xml:space="preserve"> défaite</w:t>
      </w:r>
      <w:r w:rsidRPr="00CF4D08">
        <w:rPr>
          <w:rFonts w:ascii="Times New Roman" w:hAnsi="Times New Roman" w:cs="Times New Roman"/>
          <w:strike/>
          <w:color w:val="000000" w:themeColor="text1"/>
        </w:rPr>
        <w:t> </w:t>
      </w:r>
      <w:r w:rsidRPr="00CF4D08">
        <w:rPr>
          <w:rFonts w:ascii="Times New Roman" w:hAnsi="Times New Roman" w:cs="Times New Roman"/>
          <w:color w:val="000000" w:themeColor="text1"/>
        </w:rPr>
        <w:t xml:space="preserve">» par rapport aux périodes, finalement plus longues, d’apaisement et de paix. Le temps de </w:t>
      </w:r>
      <w:r w:rsidRPr="00CF4D08">
        <w:rPr>
          <w:rFonts w:ascii="Times New Roman" w:hAnsi="Times New Roman" w:cs="Times New Roman"/>
          <w:bCs/>
          <w:color w:val="000000" w:themeColor="text1"/>
        </w:rPr>
        <w:t>la défaite</w:t>
      </w:r>
      <w:r w:rsidRPr="00CF4D08">
        <w:rPr>
          <w:rFonts w:ascii="Times New Roman" w:hAnsi="Times New Roman" w:cs="Times New Roman"/>
          <w:color w:val="000000" w:themeColor="text1"/>
        </w:rPr>
        <w:t xml:space="preserve"> est-il appréhendé comme une parenthèse ?</w:t>
      </w:r>
    </w:p>
    <w:p w14:paraId="4814AE17" w14:textId="77777777" w:rsidR="001F3202" w:rsidRPr="00CF4D08" w:rsidRDefault="001F3202" w:rsidP="001F3202">
      <w:pPr>
        <w:jc w:val="both"/>
        <w:rPr>
          <w:rFonts w:ascii="Times New Roman" w:hAnsi="Times New Roman" w:cs="Times New Roman"/>
          <w:bCs/>
          <w:color w:val="000000" w:themeColor="text1"/>
        </w:rPr>
      </w:pPr>
    </w:p>
    <w:p w14:paraId="5C6779F3" w14:textId="77777777" w:rsidR="001F3202" w:rsidRPr="00CF4D08" w:rsidRDefault="001F3202" w:rsidP="001F3202">
      <w:pPr>
        <w:jc w:val="both"/>
        <w:rPr>
          <w:rFonts w:ascii="Times New Roman" w:hAnsi="Times New Roman" w:cs="Times New Roman"/>
          <w:bCs/>
          <w:color w:val="000000" w:themeColor="text1"/>
        </w:rPr>
      </w:pPr>
      <w:r w:rsidRPr="00CF4D08">
        <w:rPr>
          <w:rFonts w:ascii="Times New Roman" w:hAnsi="Times New Roman" w:cs="Times New Roman"/>
          <w:bCs/>
          <w:color w:val="000000" w:themeColor="text1"/>
        </w:rPr>
        <w:tab/>
        <w:t>Ce qui nous amène aux deux dernières problématiques de ce colloque :</w:t>
      </w:r>
    </w:p>
    <w:p w14:paraId="08BE5811" w14:textId="77777777" w:rsidR="001F3202" w:rsidRPr="00CF4D08" w:rsidRDefault="001F3202" w:rsidP="001F3202">
      <w:pPr>
        <w:jc w:val="center"/>
        <w:rPr>
          <w:rFonts w:ascii="Times New Roman" w:hAnsi="Times New Roman" w:cs="Times New Roman"/>
          <w:bCs/>
          <w:color w:val="000000" w:themeColor="text1"/>
        </w:rPr>
      </w:pPr>
    </w:p>
    <w:p w14:paraId="0945302A" w14:textId="77777777" w:rsidR="001F3202" w:rsidRPr="00CF4D08" w:rsidRDefault="001F3202" w:rsidP="001F3202">
      <w:pPr>
        <w:jc w:val="center"/>
        <w:rPr>
          <w:rFonts w:ascii="Times New Roman" w:hAnsi="Times New Roman" w:cs="Times New Roman"/>
          <w:b/>
          <w:bCs/>
          <w:color w:val="000000" w:themeColor="text1"/>
        </w:rPr>
      </w:pPr>
      <w:r w:rsidRPr="00CF4D08">
        <w:rPr>
          <w:rFonts w:ascii="Times New Roman" w:hAnsi="Times New Roman" w:cs="Times New Roman"/>
          <w:b/>
          <w:bCs/>
          <w:color w:val="000000" w:themeColor="text1"/>
        </w:rPr>
        <w:t xml:space="preserve">Acter la défaite </w:t>
      </w:r>
    </w:p>
    <w:p w14:paraId="3E556046" w14:textId="77777777" w:rsidR="001F3202" w:rsidRPr="00CF4D08" w:rsidRDefault="001F3202" w:rsidP="001F3202">
      <w:pPr>
        <w:ind w:firstLine="708"/>
        <w:jc w:val="both"/>
        <w:rPr>
          <w:rFonts w:ascii="Times New Roman" w:hAnsi="Times New Roman" w:cs="Times New Roman"/>
          <w:color w:val="000000" w:themeColor="text1"/>
        </w:rPr>
      </w:pPr>
    </w:p>
    <w:p w14:paraId="6C5B2CED"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À qui appartient-il de reconnaître la défaite et de la proclamer ? Ces thématiques impliquent en outre de réfléchir aux discours et aux représentations utilisées pour expliquer et faire accepter la défaite sur le front comme à l’arrière. Se posent des questions comme l’accès à l’information (renseignement, propagande, rumeurs, etc.) et la réaction immédiate des acteurs sociaux à ces nouvelles (révolte, soulagement, etc.). </w:t>
      </w:r>
    </w:p>
    <w:p w14:paraId="00D77597"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Définir l’ampleur de la défaite est alors affaire de négociations. Il s’agit avant tout de discuter, avec l’ennemi comme au sein de son propre camp, des termes de la défaite (retrait, trêve, cessez-le-feu, capitulation, armistice, etc.). Une attention particulière devra donc être accordée aux acteurs qui organisent la gestion économique, diplomatique et militaire de la défaite ainsi qu’aux implications de ces négociations (occupation, retour des prisonniers, désarmement des combattants, ravitaillement, ordre public, paiement de tributs et d’indemnités, tracés de nouvelles frontières…).</w:t>
      </w:r>
    </w:p>
    <w:p w14:paraId="64C6CE23" w14:textId="77777777" w:rsidR="001F3202" w:rsidRPr="00CF4D08" w:rsidRDefault="001F3202" w:rsidP="001F3202">
      <w:pPr>
        <w:ind w:firstLine="708"/>
        <w:jc w:val="both"/>
        <w:rPr>
          <w:rFonts w:ascii="Times New Roman" w:hAnsi="Times New Roman" w:cs="Times New Roman"/>
        </w:rPr>
      </w:pPr>
      <w:r w:rsidRPr="00CF4D08">
        <w:rPr>
          <w:rFonts w:ascii="Times New Roman" w:hAnsi="Times New Roman" w:cs="Times New Roman"/>
        </w:rPr>
        <w:t xml:space="preserve">Alors même que ces actions s’enclenchent apparaissent des phénomènes individuels ou collectifs de refus de la défaite. Le fait que certains décident de continuer le combat envers et contre tout interrogent la légitimité et les moyens de coercition des institutions qui actent la défaite. Ces refus invitent aussi à questionner les imaginaires guerriers, les discours politiques et les pratiques combattantes de ceux qui refusent de se démobiliser. </w:t>
      </w:r>
    </w:p>
    <w:p w14:paraId="39DEFBF8" w14:textId="77777777" w:rsidR="001F3202" w:rsidRPr="00CF4D08" w:rsidRDefault="001F3202" w:rsidP="001F3202">
      <w:pPr>
        <w:jc w:val="both"/>
        <w:rPr>
          <w:rFonts w:ascii="Times New Roman" w:hAnsi="Times New Roman" w:cs="Times New Roman"/>
          <w:color w:val="000000" w:themeColor="text1"/>
        </w:rPr>
      </w:pPr>
    </w:p>
    <w:p w14:paraId="3A752393" w14:textId="77777777" w:rsidR="001F3202" w:rsidRPr="00CF4D08" w:rsidRDefault="001F3202" w:rsidP="001F3202">
      <w:pPr>
        <w:jc w:val="center"/>
        <w:rPr>
          <w:rFonts w:ascii="Times New Roman" w:hAnsi="Times New Roman" w:cs="Times New Roman"/>
          <w:b/>
          <w:bCs/>
          <w:color w:val="000000" w:themeColor="text1"/>
        </w:rPr>
      </w:pPr>
      <w:r w:rsidRPr="00CF4D08">
        <w:rPr>
          <w:rFonts w:ascii="Times New Roman" w:hAnsi="Times New Roman" w:cs="Times New Roman"/>
          <w:b/>
          <w:bCs/>
          <w:color w:val="000000" w:themeColor="text1"/>
        </w:rPr>
        <w:t>Apprendre de la défaite</w:t>
      </w:r>
    </w:p>
    <w:p w14:paraId="3AE28702" w14:textId="77777777" w:rsidR="001F3202" w:rsidRPr="00CF4D08" w:rsidRDefault="001F3202" w:rsidP="001F3202">
      <w:pPr>
        <w:ind w:firstLine="708"/>
        <w:jc w:val="both"/>
        <w:rPr>
          <w:rFonts w:ascii="Times New Roman" w:hAnsi="Times New Roman" w:cs="Times New Roman"/>
          <w:color w:val="632423" w:themeColor="accent2" w:themeShade="80"/>
        </w:rPr>
      </w:pPr>
    </w:p>
    <w:p w14:paraId="1F6231F1" w14:textId="77777777" w:rsidR="001F3202" w:rsidRPr="00CF4D08" w:rsidRDefault="001F3202" w:rsidP="001F3202">
      <w:pPr>
        <w:ind w:firstLine="708"/>
        <w:jc w:val="both"/>
        <w:rPr>
          <w:rFonts w:ascii="Times New Roman" w:hAnsi="Times New Roman" w:cs="Times New Roman"/>
        </w:rPr>
      </w:pPr>
      <w:r w:rsidRPr="00CF4D08">
        <w:rPr>
          <w:rFonts w:ascii="Times New Roman" w:hAnsi="Times New Roman" w:cs="Times New Roman"/>
        </w:rPr>
        <w:t xml:space="preserve">Coopérer avec l’ennemi ne va pas de soi dans la mesure où une telle attitude politique, si elle est assimilée à une trahison, est politiquement et moralement disqualifiée. Cependant, la défaite scellée, la paix redevient un horizon pour les acteurs sociaux. Alors que les nationalismes conservent la rhétorique belliqueuse du temps de guerre, certains acteurs travaillent à ce que les sociétés dépassent les statuts de vainqueurs et de vaincus. Une attention particulière sera donc portée aux individus ou aux groupes qui œuvrent à des </w:t>
      </w:r>
      <w:r w:rsidRPr="00CF4D08">
        <w:rPr>
          <w:rFonts w:ascii="Times New Roman" w:hAnsi="Times New Roman" w:cs="Times New Roman"/>
          <w:i/>
        </w:rPr>
        <w:t xml:space="preserve">médiations </w:t>
      </w:r>
      <w:r w:rsidRPr="00CF4D08">
        <w:rPr>
          <w:rFonts w:ascii="Times New Roman" w:hAnsi="Times New Roman" w:cs="Times New Roman"/>
        </w:rPr>
        <w:t xml:space="preserve">entre les adversaires d’hier. Si celles-ci peuvent être guidées par une volonté de réconciliation avec l’Autre, elles peuvent aussi résulter de logiques politiques et idéologiques internes (le pays vaincu cherchant l’appui du vainqueur pour surmonter les tensions sociales voire la guerre civile qui éclatent au lendemain de la défaite). </w:t>
      </w:r>
    </w:p>
    <w:p w14:paraId="1522B8B4" w14:textId="77777777" w:rsidR="001F3202" w:rsidRPr="00CF4D08" w:rsidRDefault="001F3202" w:rsidP="001F3202">
      <w:pPr>
        <w:ind w:firstLine="708"/>
        <w:jc w:val="both"/>
        <w:rPr>
          <w:rFonts w:ascii="Times New Roman" w:hAnsi="Times New Roman" w:cs="Times New Roman"/>
          <w:bCs/>
          <w:color w:val="000000" w:themeColor="text1"/>
        </w:rPr>
      </w:pPr>
      <w:r w:rsidRPr="00CF4D08">
        <w:rPr>
          <w:rFonts w:ascii="Times New Roman" w:hAnsi="Times New Roman" w:cs="Times New Roman"/>
          <w:bCs/>
          <w:color w:val="000000" w:themeColor="text1"/>
        </w:rPr>
        <w:t xml:space="preserve">Enfin nous nous intéresserons plus particulièrement aux lectures, relectures et apprentissages qui découlent de ces expériences. La défaite devient-elle pour les contemporains une clef de lecture du passé ? La considèrent-ils comme un châtiment collectif plus ou moins mérité ou un instrument de la providence, comme un </w:t>
      </w:r>
      <w:r w:rsidRPr="00CF4D08">
        <w:rPr>
          <w:rFonts w:ascii="Times New Roman" w:hAnsi="Times New Roman" w:cs="Times New Roman"/>
          <w:bCs/>
          <w:i/>
          <w:color w:val="000000" w:themeColor="text1"/>
        </w:rPr>
        <w:t>fatum</w:t>
      </w:r>
      <w:r w:rsidRPr="00CF4D08">
        <w:rPr>
          <w:rFonts w:ascii="Times New Roman" w:hAnsi="Times New Roman" w:cs="Times New Roman"/>
          <w:bCs/>
          <w:color w:val="000000" w:themeColor="text1"/>
        </w:rPr>
        <w:t xml:space="preserve"> ou plutôt un accident de parcours ou bien encore comme l’œuvre maléfique d’une minorité ? Dans cette perspective, on s’intéressera notamment aux </w:t>
      </w:r>
      <w:r w:rsidRPr="00CF4D08">
        <w:rPr>
          <w:rFonts w:ascii="Times New Roman" w:hAnsi="Times New Roman" w:cs="Times New Roman"/>
          <w:bCs/>
          <w:i/>
          <w:color w:val="000000" w:themeColor="text1"/>
        </w:rPr>
        <w:t>écrits de la défaite</w:t>
      </w:r>
      <w:r w:rsidRPr="00CF4D08">
        <w:rPr>
          <w:rFonts w:ascii="Times New Roman" w:hAnsi="Times New Roman" w:cs="Times New Roman"/>
          <w:bCs/>
          <w:color w:val="000000" w:themeColor="text1"/>
        </w:rPr>
        <w:t xml:space="preserve">, aux analyses et témoignages qui, tantôt à chaud </w:t>
      </w:r>
      <w:r w:rsidRPr="00CF4D08">
        <w:rPr>
          <w:rFonts w:ascii="Times New Roman" w:hAnsi="Times New Roman" w:cs="Times New Roman"/>
          <w:bCs/>
          <w:color w:val="000000" w:themeColor="text1"/>
        </w:rPr>
        <w:lastRenderedPageBreak/>
        <w:t xml:space="preserve">comme </w:t>
      </w:r>
      <w:r w:rsidRPr="00CF4D08">
        <w:rPr>
          <w:rFonts w:ascii="Times New Roman" w:hAnsi="Times New Roman" w:cs="Times New Roman"/>
          <w:bCs/>
          <w:i/>
          <w:color w:val="000000" w:themeColor="text1"/>
        </w:rPr>
        <w:t>L’étrange défaite</w:t>
      </w:r>
      <w:r w:rsidRPr="00CF4D08">
        <w:rPr>
          <w:rFonts w:ascii="Times New Roman" w:hAnsi="Times New Roman" w:cs="Times New Roman"/>
          <w:bCs/>
          <w:color w:val="000000" w:themeColor="text1"/>
        </w:rPr>
        <w:t xml:space="preserve"> de Marc Bloch « </w:t>
      </w:r>
      <w:r w:rsidRPr="00CF4D08">
        <w:rPr>
          <w:rFonts w:ascii="Times New Roman" w:hAnsi="Times New Roman" w:cs="Times New Roman"/>
        </w:rPr>
        <w:t xml:space="preserve">ce procès-verbal de l’an 1940 » </w:t>
      </w:r>
      <w:r w:rsidRPr="00CF4D08">
        <w:rPr>
          <w:rFonts w:ascii="Times New Roman" w:hAnsi="Times New Roman" w:cs="Times New Roman"/>
          <w:bCs/>
          <w:color w:val="000000" w:themeColor="text1"/>
        </w:rPr>
        <w:t xml:space="preserve">écrit entre juillet et septembre de la même année, tantôt à distance, tentent de d’injecter du sens dans l’événement par-delà la </w:t>
      </w:r>
      <w:r w:rsidRPr="00CF4D08">
        <w:rPr>
          <w:rFonts w:ascii="Times New Roman" w:hAnsi="Times New Roman" w:cs="Times New Roman"/>
          <w:bCs/>
          <w:i/>
          <w:color w:val="000000" w:themeColor="text1"/>
        </w:rPr>
        <w:t>sidération</w:t>
      </w:r>
      <w:r w:rsidRPr="00CF4D08">
        <w:rPr>
          <w:rFonts w:ascii="Times New Roman" w:hAnsi="Times New Roman" w:cs="Times New Roman"/>
          <w:bCs/>
          <w:color w:val="000000" w:themeColor="text1"/>
        </w:rPr>
        <w:t xml:space="preserve"> qu’il provoque. </w:t>
      </w:r>
    </w:p>
    <w:p w14:paraId="7014962C" w14:textId="77777777" w:rsidR="001F3202" w:rsidRPr="00CF4D08" w:rsidRDefault="001F3202" w:rsidP="001F3202">
      <w:pPr>
        <w:ind w:firstLine="708"/>
        <w:jc w:val="both"/>
        <w:rPr>
          <w:rFonts w:ascii="Times New Roman" w:hAnsi="Times New Roman" w:cs="Times New Roman"/>
          <w:bCs/>
          <w:color w:val="000000" w:themeColor="text1"/>
        </w:rPr>
      </w:pPr>
      <w:r w:rsidRPr="00CF4D08">
        <w:rPr>
          <w:rFonts w:ascii="Times New Roman" w:hAnsi="Times New Roman" w:cs="Times New Roman"/>
          <w:bCs/>
          <w:color w:val="000000" w:themeColor="text1"/>
        </w:rPr>
        <w:t xml:space="preserve"> Quelles leçons les contemporains d’une défaite en retiennent-ils et quelles réformes conçoivent-ils pour éviter de revivre cette expérience ? À l’intérieur des sociétés, on portera notamment le regard sur l’impact sur les organisations militaires victorieuses comme vaincues (recrutement, conscription, alliances militaires, expansion coloniale et impériale, doctrines, formation, discipline et traditions). </w:t>
      </w:r>
    </w:p>
    <w:p w14:paraId="60D20C72"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bCs/>
          <w:color w:val="000000" w:themeColor="text1"/>
        </w:rPr>
        <w:t>Si le sentiment de revanche qui suit la défaite est important, il convient de le mettre en balance</w:t>
      </w:r>
      <w:r w:rsidRPr="00CF4D08">
        <w:rPr>
          <w:rFonts w:ascii="Times New Roman" w:hAnsi="Times New Roman" w:cs="Times New Roman"/>
          <w:color w:val="000000" w:themeColor="text1"/>
        </w:rPr>
        <w:t xml:space="preserve"> </w:t>
      </w:r>
      <w:r w:rsidRPr="00CF4D08">
        <w:rPr>
          <w:rFonts w:ascii="Times New Roman" w:hAnsi="Times New Roman" w:cs="Times New Roman"/>
          <w:bCs/>
          <w:color w:val="000000" w:themeColor="text1"/>
        </w:rPr>
        <w:t>avec les espoirs et expériences d’apaisement et de coopération.</w:t>
      </w:r>
      <w:r w:rsidRPr="00CF4D08">
        <w:rPr>
          <w:rFonts w:ascii="Times New Roman" w:hAnsi="Times New Roman" w:cs="Times New Roman"/>
          <w:color w:val="000000" w:themeColor="text1"/>
        </w:rPr>
        <w:t xml:space="preserve"> La dernière section sera plus particulièrement consacrée </w:t>
      </w:r>
      <w:r w:rsidRPr="00CF4D08">
        <w:rPr>
          <w:rFonts w:ascii="Times New Roman" w:hAnsi="Times New Roman" w:cs="Times New Roman"/>
          <w:bCs/>
          <w:color w:val="000000" w:themeColor="text1"/>
        </w:rPr>
        <w:t>à une autre mise en récit</w:t>
      </w:r>
      <w:r w:rsidRPr="00CF4D08">
        <w:rPr>
          <w:rFonts w:ascii="Times New Roman" w:hAnsi="Times New Roman" w:cs="Times New Roman"/>
          <w:color w:val="000000" w:themeColor="text1"/>
        </w:rPr>
        <w:t xml:space="preserve"> de la séquence chronologique. Comment l’expérience et la représentation de la défaite, la sienne et celle de l’autre, influent-elles </w:t>
      </w:r>
      <w:r w:rsidRPr="00CF4D08">
        <w:rPr>
          <w:rFonts w:ascii="Times New Roman" w:hAnsi="Times New Roman" w:cs="Times New Roman"/>
          <w:bCs/>
          <w:color w:val="000000" w:themeColor="text1"/>
        </w:rPr>
        <w:t xml:space="preserve">sur les </w:t>
      </w:r>
      <w:r w:rsidRPr="00CF4D08">
        <w:rPr>
          <w:rFonts w:ascii="Times New Roman" w:hAnsi="Times New Roman" w:cs="Times New Roman"/>
          <w:bCs/>
          <w:i/>
          <w:color w:val="000000" w:themeColor="text1"/>
        </w:rPr>
        <w:t>expériences de coopération</w:t>
      </w:r>
      <w:r w:rsidRPr="00CF4D08">
        <w:rPr>
          <w:rFonts w:ascii="Times New Roman" w:hAnsi="Times New Roman" w:cs="Times New Roman"/>
          <w:bCs/>
          <w:color w:val="000000" w:themeColor="text1"/>
        </w:rPr>
        <w:t xml:space="preserve"> entre les conflits et les tentatives d’instaurer une paix durable mises en œuvre au cours de la période, quand bien même ces dernières ne se révèlent pas assez fructueuses</w:t>
      </w:r>
      <w:r w:rsidRPr="00CF4D08">
        <w:rPr>
          <w:rFonts w:ascii="Times New Roman" w:hAnsi="Times New Roman" w:cs="Times New Roman"/>
          <w:color w:val="000000" w:themeColor="text1"/>
        </w:rPr>
        <w:t xml:space="preserve"> ? </w:t>
      </w:r>
    </w:p>
    <w:p w14:paraId="753451FE"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bCs/>
          <w:color w:val="000000" w:themeColor="text1"/>
        </w:rPr>
        <w:t>Dans cette perspective,</w:t>
      </w:r>
      <w:r w:rsidRPr="00CF4D08">
        <w:rPr>
          <w:rFonts w:ascii="Times New Roman" w:hAnsi="Times New Roman" w:cs="Times New Roman"/>
          <w:color w:val="000000" w:themeColor="text1"/>
        </w:rPr>
        <w:t xml:space="preserve"> faire face à l’ennemi – vainqueur ou vaincu – c’est également, pour les Allemands et les Français, entre 1870 et 1945, non pas uniquement affronter et humilier mais également négocier, se réconcilier et démobiliser les représentations hostiles de l’autre. </w:t>
      </w:r>
      <w:r w:rsidRPr="00CF4D08">
        <w:rPr>
          <w:rFonts w:ascii="Times New Roman" w:hAnsi="Times New Roman" w:cs="Times New Roman"/>
          <w:bCs/>
          <w:color w:val="000000" w:themeColor="text1"/>
        </w:rPr>
        <w:t>Une telle démarche</w:t>
      </w:r>
      <w:r w:rsidRPr="00CF4D08">
        <w:rPr>
          <w:rFonts w:ascii="Times New Roman" w:hAnsi="Times New Roman" w:cs="Times New Roman"/>
          <w:color w:val="000000" w:themeColor="text1"/>
        </w:rPr>
        <w:t xml:space="preserve"> </w:t>
      </w:r>
      <w:r w:rsidRPr="00CF4D08">
        <w:rPr>
          <w:rFonts w:ascii="Times New Roman" w:hAnsi="Times New Roman" w:cs="Times New Roman"/>
          <w:bCs/>
          <w:color w:val="000000" w:themeColor="text1"/>
        </w:rPr>
        <w:t>fait suite aussi bien à des décisions émanant des pouvoirs publics que d’initiatives individuelles et collectives</w:t>
      </w:r>
      <w:r w:rsidRPr="00CF4D08">
        <w:rPr>
          <w:rFonts w:ascii="Times New Roman" w:hAnsi="Times New Roman" w:cs="Times New Roman"/>
          <w:color w:val="000000" w:themeColor="text1"/>
        </w:rPr>
        <w:t xml:space="preserve">. </w:t>
      </w:r>
      <w:r w:rsidRPr="00CF4D08">
        <w:rPr>
          <w:rFonts w:ascii="Times New Roman" w:hAnsi="Times New Roman" w:cs="Times New Roman"/>
          <w:bCs/>
          <w:color w:val="000000" w:themeColor="text1"/>
        </w:rPr>
        <w:t>Cela implique même parfois de coopérer avec l’ennemi d’hier dans des instances internationales qui apparaissent à la faveur des traités (à l’instar de la Croix-Rouge internationale ou de la Société des Nations), de trouver des accommodements et de combattre à ses côtés dans des coalitions pour gérer des crises au nom d’intérêts plus ou moins partagés.</w:t>
      </w:r>
    </w:p>
    <w:p w14:paraId="733A82A5" w14:textId="77777777" w:rsidR="001F3202" w:rsidRPr="00CF4D08" w:rsidRDefault="001F3202" w:rsidP="001F3202">
      <w:pPr>
        <w:jc w:val="both"/>
        <w:rPr>
          <w:rFonts w:ascii="Times New Roman" w:hAnsi="Times New Roman" w:cs="Times New Roman"/>
          <w:color w:val="000000" w:themeColor="text1"/>
        </w:rPr>
      </w:pPr>
    </w:p>
    <w:p w14:paraId="26B2DA12" w14:textId="77777777" w:rsidR="001F3202" w:rsidRPr="00CF4D08" w:rsidRDefault="001F3202" w:rsidP="001F3202">
      <w:pPr>
        <w:jc w:val="both"/>
        <w:rPr>
          <w:rFonts w:ascii="Times New Roman" w:hAnsi="Times New Roman" w:cs="Times New Roman"/>
          <w:b/>
          <w:color w:val="000000" w:themeColor="text1"/>
        </w:rPr>
      </w:pPr>
      <w:r w:rsidRPr="00CF4D08">
        <w:rPr>
          <w:rFonts w:ascii="Times New Roman" w:hAnsi="Times New Roman" w:cs="Times New Roman"/>
          <w:b/>
          <w:color w:val="000000" w:themeColor="text1"/>
        </w:rPr>
        <w:t>Nature des contributions souhaitées</w:t>
      </w:r>
    </w:p>
    <w:p w14:paraId="3664AE32" w14:textId="77777777" w:rsidR="001F3202" w:rsidRPr="00CF4D08" w:rsidRDefault="001F3202" w:rsidP="001F3202">
      <w:pPr>
        <w:jc w:val="both"/>
        <w:rPr>
          <w:rFonts w:ascii="Times New Roman" w:hAnsi="Times New Roman" w:cs="Times New Roman"/>
          <w:color w:val="000000" w:themeColor="text1"/>
        </w:rPr>
      </w:pPr>
    </w:p>
    <w:p w14:paraId="4F7B7CD8" w14:textId="77777777"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Les candidates et candidats veilleront à inscrire leur proposition dans la réflexion générale, la période choisie et les grands axes problématiques exposés ci-avant. S’ils le souhaitent, ils pourront indiquer dans laquelle des grandes sections ils insèrent leur contribution, sachant que le comité d’organisation, en dernier recours, les informera, s’ils sont retenus, de la place qu’ils occuperont lors du colloque. </w:t>
      </w:r>
    </w:p>
    <w:p w14:paraId="4F714BA6" w14:textId="27C9AEDE"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Le comité d’organisation et le conseil scientifique du colloque tiennent à souligner que le champ d’étude franco-allemand a, depuis une quarantaine d’années, été un front pionnier des approches non-nationales en proposant des comparaisons, l’étude de transferts culturels, une histoire croisée, connectée. Par conséquent, sans exclure les propositions consacrées à un seul des deux pays, ils favoriseront les communications qui étudient un objet dans les deux pays. Des comparaisons avec d’autres pays ou défaites emblématiques sont également bienvenues.  Les propositions qui couvrent l’ensemble de la période comme celles s’attachant à comparer de manière diachronique plusieurs expériences de défaite mais aussi celles consacrées à une seule des défaites sont attendues. </w:t>
      </w:r>
    </w:p>
    <w:p w14:paraId="48700FB2" w14:textId="4232FBA6" w:rsidR="001F3202" w:rsidRPr="00CF4D08" w:rsidRDefault="001F3202" w:rsidP="001F3202">
      <w:pPr>
        <w:ind w:firstLine="708"/>
        <w:jc w:val="both"/>
        <w:rPr>
          <w:rFonts w:ascii="Times New Roman" w:hAnsi="Times New Roman" w:cs="Times New Roman"/>
          <w:color w:val="000000" w:themeColor="text1"/>
        </w:rPr>
      </w:pPr>
      <w:r w:rsidRPr="00CF4D08">
        <w:rPr>
          <w:rFonts w:ascii="Times New Roman" w:hAnsi="Times New Roman" w:cs="Times New Roman"/>
          <w:color w:val="000000" w:themeColor="text1"/>
        </w:rPr>
        <w:t>Les propositions prendront la forme d’</w:t>
      </w:r>
      <w:r w:rsidRPr="0020590B">
        <w:rPr>
          <w:rFonts w:ascii="Times New Roman" w:hAnsi="Times New Roman" w:cs="Times New Roman"/>
          <w:b/>
          <w:bCs/>
          <w:color w:val="000000" w:themeColor="text1"/>
        </w:rPr>
        <w:t xml:space="preserve">un résumé d’une page et d’un curriculum vitae d’une seule page également. </w:t>
      </w:r>
      <w:r w:rsidRPr="00CF4D08">
        <w:rPr>
          <w:rFonts w:ascii="Times New Roman" w:hAnsi="Times New Roman" w:cs="Times New Roman"/>
          <w:color w:val="000000" w:themeColor="text1"/>
        </w:rPr>
        <w:t xml:space="preserve">Elles doivent parvenir au comité d’organisation par mail à l’adresse suivante : </w:t>
      </w:r>
      <w:bookmarkStart w:id="0" w:name="_Hlk45553996"/>
      <w:r w:rsidR="004A34C1" w:rsidRPr="00CF4D08">
        <w:rPr>
          <w:rFonts w:ascii="Times New Roman" w:hAnsi="Times New Roman" w:cs="Times New Roman"/>
          <w:b/>
          <w:bCs/>
          <w:color w:val="000000" w:themeColor="text1"/>
        </w:rPr>
        <w:t>fairefacedefaite</w:t>
      </w:r>
      <w:r w:rsidR="001E542F" w:rsidRPr="00CF4D08">
        <w:rPr>
          <w:rFonts w:ascii="Times New Roman" w:hAnsi="Times New Roman" w:cs="Times New Roman"/>
          <w:b/>
          <w:bCs/>
          <w:color w:val="000000" w:themeColor="text1"/>
        </w:rPr>
        <w:t>.facingdefeat@gmail.com</w:t>
      </w:r>
      <w:r w:rsidRPr="00CF4D08">
        <w:rPr>
          <w:rFonts w:ascii="Times New Roman" w:hAnsi="Times New Roman" w:cs="Times New Roman"/>
          <w:color w:val="000000" w:themeColor="text1"/>
        </w:rPr>
        <w:t xml:space="preserve"> </w:t>
      </w:r>
      <w:bookmarkEnd w:id="0"/>
      <w:r w:rsidRPr="00CF4D08">
        <w:rPr>
          <w:rFonts w:ascii="Times New Roman" w:hAnsi="Times New Roman" w:cs="Times New Roman"/>
          <w:color w:val="000000" w:themeColor="text1"/>
        </w:rPr>
        <w:t xml:space="preserve">au plus tard le </w:t>
      </w:r>
      <w:r w:rsidR="00DE66B3" w:rsidRPr="00CF4D08">
        <w:rPr>
          <w:rFonts w:ascii="Times New Roman" w:hAnsi="Times New Roman" w:cs="Times New Roman"/>
          <w:b/>
          <w:bCs/>
          <w:color w:val="000000" w:themeColor="text1"/>
        </w:rPr>
        <w:t>vendredi</w:t>
      </w:r>
      <w:r w:rsidR="00DE66B3" w:rsidRPr="00CF4D08">
        <w:rPr>
          <w:rFonts w:ascii="Times New Roman" w:hAnsi="Times New Roman" w:cs="Times New Roman"/>
          <w:color w:val="000000" w:themeColor="text1"/>
        </w:rPr>
        <w:t xml:space="preserve"> </w:t>
      </w:r>
      <w:r w:rsidR="004A34C1" w:rsidRPr="00CF4D08">
        <w:rPr>
          <w:rFonts w:ascii="Times New Roman" w:hAnsi="Times New Roman" w:cs="Times New Roman"/>
          <w:b/>
          <w:bCs/>
          <w:color w:val="000000" w:themeColor="text1"/>
        </w:rPr>
        <w:t>15 octobre 2020</w:t>
      </w:r>
      <w:r w:rsidR="004A34C1" w:rsidRPr="00CF4D08">
        <w:rPr>
          <w:rFonts w:ascii="Times New Roman" w:hAnsi="Times New Roman" w:cs="Times New Roman"/>
          <w:color w:val="000000" w:themeColor="text1"/>
        </w:rPr>
        <w:t>.</w:t>
      </w:r>
    </w:p>
    <w:p w14:paraId="0E170B31" w14:textId="6F9E4C48" w:rsidR="001F3202" w:rsidRDefault="001F3202" w:rsidP="001F3202">
      <w:pPr>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Les candidats et candidates retenus disposeront lors du colloque d’un temps de parole de 20 minutes. </w:t>
      </w:r>
      <w:r w:rsidR="0020590B" w:rsidRPr="0020590B">
        <w:rPr>
          <w:rFonts w:ascii="Times New Roman" w:hAnsi="Times New Roman" w:cs="Times New Roman"/>
          <w:b/>
          <w:bCs/>
          <w:color w:val="000000" w:themeColor="text1"/>
        </w:rPr>
        <w:t>Les communications pourront être faites en français ou en anglais</w:t>
      </w:r>
      <w:r w:rsidR="0020590B">
        <w:rPr>
          <w:rFonts w:ascii="Times New Roman" w:hAnsi="Times New Roman" w:cs="Times New Roman"/>
          <w:color w:val="000000" w:themeColor="text1"/>
        </w:rPr>
        <w:t xml:space="preserve">. </w:t>
      </w:r>
    </w:p>
    <w:p w14:paraId="26E156ED" w14:textId="77777777" w:rsidR="0020590B" w:rsidRPr="00CF4D08" w:rsidRDefault="0020590B" w:rsidP="001F3202">
      <w:pPr>
        <w:jc w:val="both"/>
        <w:rPr>
          <w:rFonts w:ascii="Times New Roman" w:hAnsi="Times New Roman" w:cs="Times New Roman"/>
          <w:color w:val="000000" w:themeColor="text1"/>
        </w:rPr>
      </w:pPr>
    </w:p>
    <w:p w14:paraId="1885CCD8" w14:textId="03517F45" w:rsidR="004C4591" w:rsidRPr="00CF4D08" w:rsidRDefault="004C4591" w:rsidP="004C4591">
      <w:pPr>
        <w:shd w:val="clear" w:color="auto" w:fill="FFFFFF"/>
        <w:jc w:val="both"/>
        <w:rPr>
          <w:rFonts w:ascii="Times New Roman" w:eastAsia="Times New Roman" w:hAnsi="Times New Roman" w:cs="Times New Roman"/>
          <w:color w:val="222222"/>
          <w:lang w:eastAsia="fr-FR"/>
        </w:rPr>
      </w:pPr>
      <w:r w:rsidRPr="00CF4D08">
        <w:rPr>
          <w:rFonts w:ascii="Times New Roman" w:eastAsia="Times New Roman" w:hAnsi="Times New Roman" w:cs="Times New Roman"/>
          <w:color w:val="222222"/>
          <w:lang w:eastAsia="fr-FR"/>
        </w:rPr>
        <w:t xml:space="preserve">En fonction de l’évolution de la situation liée au COVID-19, le comité d’organisation se réserve la possibilité d’annuler le colloque ou de permettre à certains intervenants de présenter leur </w:t>
      </w:r>
      <w:r w:rsidRPr="00CF4D08">
        <w:rPr>
          <w:rFonts w:ascii="Times New Roman" w:eastAsia="Times New Roman" w:hAnsi="Times New Roman" w:cs="Times New Roman"/>
          <w:color w:val="222222"/>
          <w:lang w:eastAsia="fr-FR"/>
        </w:rPr>
        <w:lastRenderedPageBreak/>
        <w:t>communication par d’autres moyens en cas d’impossibilité pour eux de se déplacer. En cas d’annulation du colloque, le comité d’organisation mettra tout en oeuvre, pour, éventuellement, le remplacer par une publication. </w:t>
      </w:r>
    </w:p>
    <w:p w14:paraId="60104AB7" w14:textId="688C1CD5" w:rsidR="004C4591" w:rsidRPr="00CF4D08" w:rsidRDefault="004C4591" w:rsidP="004C4591">
      <w:pPr>
        <w:shd w:val="clear" w:color="auto" w:fill="FFFFFF"/>
        <w:jc w:val="both"/>
        <w:rPr>
          <w:rFonts w:ascii="Times New Roman" w:eastAsia="Times New Roman" w:hAnsi="Times New Roman" w:cs="Times New Roman"/>
          <w:color w:val="222222"/>
          <w:lang w:eastAsia="fr-FR"/>
        </w:rPr>
      </w:pPr>
      <w:r w:rsidRPr="00CF4D08">
        <w:rPr>
          <w:rFonts w:ascii="Times New Roman" w:eastAsia="Times New Roman" w:hAnsi="Times New Roman" w:cs="Times New Roman"/>
          <w:color w:val="222222"/>
          <w:lang w:eastAsia="fr-FR"/>
        </w:rPr>
        <w:t>Les intervenants sélectionnés seront tenus informés des solutions envisagées et devront également informer impérativement le comité d’organisation avant d'engager des frais liés au colloque.</w:t>
      </w:r>
    </w:p>
    <w:p w14:paraId="6B72F7E3" w14:textId="77777777" w:rsidR="004C4591" w:rsidRPr="00CF4D08" w:rsidRDefault="004C4591" w:rsidP="001F3202">
      <w:pPr>
        <w:jc w:val="both"/>
        <w:rPr>
          <w:rFonts w:ascii="Times New Roman" w:hAnsi="Times New Roman" w:cs="Times New Roman"/>
          <w:color w:val="000000" w:themeColor="text1"/>
        </w:rPr>
      </w:pPr>
    </w:p>
    <w:p w14:paraId="2514FD04" w14:textId="4B90EB68" w:rsidR="001F3202" w:rsidRPr="00CF4D08" w:rsidRDefault="001F3202" w:rsidP="001F3202">
      <w:pPr>
        <w:jc w:val="both"/>
        <w:rPr>
          <w:rFonts w:ascii="Times New Roman" w:hAnsi="Times New Roman" w:cs="Times New Roman"/>
          <w:color w:val="000000" w:themeColor="text1"/>
        </w:rPr>
      </w:pPr>
      <w:r w:rsidRPr="00CF4D08">
        <w:rPr>
          <w:rFonts w:ascii="Times New Roman" w:hAnsi="Times New Roman" w:cs="Times New Roman"/>
          <w:color w:val="000000" w:themeColor="text1"/>
        </w:rPr>
        <w:t xml:space="preserve">À l’issue du colloque une publication est prévue. Les communicants retenus pour la publication seront informés rapidement et devront rendre leur article finalisé pour le </w:t>
      </w:r>
      <w:r w:rsidR="001E542F" w:rsidRPr="00CF4D08">
        <w:rPr>
          <w:rFonts w:ascii="Times New Roman" w:hAnsi="Times New Roman" w:cs="Times New Roman"/>
          <w:b/>
          <w:bCs/>
          <w:color w:val="000000" w:themeColor="text1"/>
        </w:rPr>
        <w:t>31 août 2021</w:t>
      </w:r>
      <w:r w:rsidRPr="00CF4D08">
        <w:rPr>
          <w:rFonts w:ascii="Times New Roman" w:hAnsi="Times New Roman" w:cs="Times New Roman"/>
          <w:b/>
          <w:bCs/>
          <w:color w:val="000000" w:themeColor="text1"/>
        </w:rPr>
        <w:t>.</w:t>
      </w:r>
      <w:r w:rsidRPr="00CF4D08">
        <w:rPr>
          <w:rFonts w:ascii="Times New Roman" w:hAnsi="Times New Roman" w:cs="Times New Roman"/>
          <w:color w:val="000000" w:themeColor="text1"/>
        </w:rPr>
        <w:t xml:space="preserve"> </w:t>
      </w:r>
    </w:p>
    <w:p w14:paraId="313B4E5B" w14:textId="77777777" w:rsidR="001F3202" w:rsidRPr="00CF4D08" w:rsidRDefault="001F3202" w:rsidP="001F3202">
      <w:pPr>
        <w:jc w:val="both"/>
        <w:rPr>
          <w:rFonts w:ascii="Times New Roman" w:hAnsi="Times New Roman" w:cs="Times New Roman"/>
          <w:color w:val="000000" w:themeColor="text1"/>
        </w:rPr>
      </w:pPr>
    </w:p>
    <w:p w14:paraId="4B39D2F9" w14:textId="77777777" w:rsidR="001F3202" w:rsidRPr="00CF4D08" w:rsidRDefault="001F3202" w:rsidP="001F3202">
      <w:pPr>
        <w:jc w:val="both"/>
        <w:rPr>
          <w:rFonts w:ascii="Times New Roman" w:hAnsi="Times New Roman" w:cs="Times New Roman"/>
          <w:color w:val="000000" w:themeColor="text1"/>
        </w:rPr>
      </w:pPr>
    </w:p>
    <w:p w14:paraId="045F731A" w14:textId="77777777" w:rsidR="001F3202" w:rsidRPr="00CF4D08" w:rsidRDefault="001F3202" w:rsidP="00CF4D08">
      <w:pPr>
        <w:jc w:val="center"/>
        <w:rPr>
          <w:rFonts w:ascii="Times New Roman" w:hAnsi="Times New Roman" w:cs="Times New Roman"/>
          <w:b/>
          <w:bCs/>
          <w:color w:val="000000" w:themeColor="text1"/>
          <w:sz w:val="28"/>
          <w:szCs w:val="28"/>
        </w:rPr>
      </w:pPr>
      <w:r w:rsidRPr="00CF4D08">
        <w:rPr>
          <w:rFonts w:ascii="Times New Roman" w:hAnsi="Times New Roman" w:cs="Times New Roman"/>
          <w:b/>
          <w:bCs/>
          <w:color w:val="000000" w:themeColor="text1"/>
          <w:sz w:val="28"/>
          <w:szCs w:val="28"/>
        </w:rPr>
        <w:t>Comité d’organisation</w:t>
      </w:r>
    </w:p>
    <w:p w14:paraId="5CCF5B59" w14:textId="08316051" w:rsidR="001F3202" w:rsidRPr="00CF4D08" w:rsidRDefault="001F3202" w:rsidP="001F3202">
      <w:pPr>
        <w:jc w:val="both"/>
        <w:rPr>
          <w:rFonts w:ascii="Times New Roman" w:hAnsi="Times New Roman" w:cs="Times New Roman"/>
          <w:color w:val="222222"/>
          <w:shd w:val="clear" w:color="auto" w:fill="FFFFFF"/>
        </w:rPr>
      </w:pPr>
      <w:r w:rsidRPr="00CF4D08">
        <w:rPr>
          <w:rFonts w:ascii="Times New Roman" w:hAnsi="Times New Roman" w:cs="Times New Roman"/>
          <w:color w:val="000000" w:themeColor="text1"/>
        </w:rPr>
        <w:t xml:space="preserve">Dr. Nicolas Beaupré </w:t>
      </w:r>
      <w:r w:rsidR="004C4591" w:rsidRPr="00CF4D08">
        <w:rPr>
          <w:rFonts w:ascii="Times New Roman" w:hAnsi="Times New Roman" w:cs="Times New Roman"/>
          <w:color w:val="222222"/>
          <w:shd w:val="clear" w:color="auto" w:fill="FFFFFF"/>
        </w:rPr>
        <w:t xml:space="preserve">(Université de Clermont-Auvergne, Centre d’Histoire Espaces et Culture, Centre International de Recherche de l’Historial de la Grande Guerre)  </w:t>
      </w:r>
    </w:p>
    <w:p w14:paraId="19F05A4C" w14:textId="0A34D160" w:rsidR="001F3202" w:rsidRPr="00CF4D08" w:rsidRDefault="001F3202" w:rsidP="001F3202">
      <w:pPr>
        <w:jc w:val="both"/>
        <w:rPr>
          <w:rFonts w:ascii="Times New Roman" w:hAnsi="Times New Roman" w:cs="Times New Roman"/>
          <w:color w:val="000000" w:themeColor="text1"/>
        </w:rPr>
      </w:pPr>
      <w:r w:rsidRPr="00CF4D08">
        <w:rPr>
          <w:rFonts w:ascii="Times New Roman" w:hAnsi="Times New Roman" w:cs="Times New Roman"/>
          <w:color w:val="000000" w:themeColor="text1"/>
        </w:rPr>
        <w:t>Dr. Géraud Létang (Service Historique de la Défense)</w:t>
      </w:r>
    </w:p>
    <w:p w14:paraId="34C4DDD7" w14:textId="22F1812D" w:rsidR="001F3202" w:rsidRPr="00CF4D08" w:rsidRDefault="00F30DA1" w:rsidP="001F3202">
      <w:pPr>
        <w:jc w:val="both"/>
        <w:rPr>
          <w:rFonts w:ascii="Times New Roman" w:hAnsi="Times New Roman" w:cs="Times New Roman"/>
          <w:color w:val="000000" w:themeColor="text1"/>
        </w:rPr>
      </w:pPr>
      <w:r>
        <w:rPr>
          <w:rFonts w:ascii="Times New Roman" w:hAnsi="Times New Roman" w:cs="Times New Roman"/>
          <w:color w:val="000000" w:themeColor="text1"/>
        </w:rPr>
        <w:t xml:space="preserve">Lieutenant Aurélien </w:t>
      </w:r>
      <w:proofErr w:type="spellStart"/>
      <w:r>
        <w:rPr>
          <w:rFonts w:ascii="Times New Roman" w:hAnsi="Times New Roman" w:cs="Times New Roman"/>
          <w:color w:val="000000" w:themeColor="text1"/>
        </w:rPr>
        <w:t>Renaudière</w:t>
      </w:r>
      <w:proofErr w:type="spellEnd"/>
      <w:r>
        <w:rPr>
          <w:rFonts w:ascii="Times New Roman" w:hAnsi="Times New Roman" w:cs="Times New Roman"/>
          <w:color w:val="000000" w:themeColor="text1"/>
        </w:rPr>
        <w:t xml:space="preserve"> (</w:t>
      </w:r>
      <w:r w:rsidRPr="00CF4D08">
        <w:rPr>
          <w:rFonts w:ascii="Times New Roman" w:hAnsi="Times New Roman" w:cs="Times New Roman"/>
          <w:color w:val="000000" w:themeColor="text1"/>
        </w:rPr>
        <w:t>Service Historique de la Défense</w:t>
      </w:r>
      <w:r>
        <w:rPr>
          <w:rFonts w:ascii="Times New Roman" w:hAnsi="Times New Roman" w:cs="Times New Roman"/>
          <w:color w:val="000000" w:themeColor="text1"/>
        </w:rPr>
        <w:t>)</w:t>
      </w:r>
    </w:p>
    <w:p w14:paraId="7F7F5ED6" w14:textId="77777777" w:rsidR="001F3202" w:rsidRPr="00CF4D08" w:rsidRDefault="001F3202" w:rsidP="001F3202">
      <w:pPr>
        <w:jc w:val="both"/>
        <w:rPr>
          <w:rFonts w:ascii="Times New Roman" w:hAnsi="Times New Roman" w:cs="Times New Roman"/>
          <w:color w:val="000000" w:themeColor="text1"/>
        </w:rPr>
      </w:pPr>
    </w:p>
    <w:p w14:paraId="71D32158" w14:textId="24C66116" w:rsidR="001F3202" w:rsidRPr="00CF4D08" w:rsidRDefault="001F3202" w:rsidP="00CF4D08">
      <w:pPr>
        <w:jc w:val="center"/>
        <w:rPr>
          <w:rFonts w:ascii="Times New Roman" w:hAnsi="Times New Roman" w:cs="Times New Roman"/>
          <w:b/>
          <w:bCs/>
          <w:color w:val="000000" w:themeColor="text1"/>
          <w:sz w:val="28"/>
          <w:szCs w:val="28"/>
        </w:rPr>
      </w:pPr>
      <w:r w:rsidRPr="00CF4D08">
        <w:rPr>
          <w:rFonts w:ascii="Times New Roman" w:hAnsi="Times New Roman" w:cs="Times New Roman"/>
          <w:b/>
          <w:bCs/>
          <w:color w:val="000000" w:themeColor="text1"/>
          <w:sz w:val="28"/>
          <w:szCs w:val="28"/>
        </w:rPr>
        <w:t>Conseil scientifique</w:t>
      </w:r>
    </w:p>
    <w:p w14:paraId="4BB31C9D"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Pr. Julie d’ANDURAIN (Université de Lorraine – Nancy)</w:t>
      </w:r>
    </w:p>
    <w:p w14:paraId="315D7F63"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Pr. Jean-Claude CARON (Université de Clermont-Auvergne – Clermont-Ferrand)</w:t>
      </w:r>
    </w:p>
    <w:p w14:paraId="6AECD653"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Dr. Pierre CHANCEREL (Service Historique de la Défense- Vincennes)</w:t>
      </w:r>
    </w:p>
    <w:p w14:paraId="1AE7146F" w14:textId="1CC5A5A0" w:rsidR="001F3202" w:rsidRPr="00CF4D08" w:rsidRDefault="0091240E" w:rsidP="001F3202">
      <w:pPr>
        <w:rPr>
          <w:rFonts w:ascii="Times New Roman" w:hAnsi="Times New Roman" w:cs="Times New Roman"/>
          <w:i/>
          <w:color w:val="000000"/>
        </w:rPr>
      </w:pPr>
      <w:r w:rsidRPr="00CF4D08">
        <w:rPr>
          <w:rFonts w:ascii="Times New Roman" w:hAnsi="Times New Roman" w:cs="Times New Roman"/>
          <w:iCs/>
          <w:color w:val="000000"/>
        </w:rPr>
        <w:t xml:space="preserve">Dr. </w:t>
      </w:r>
      <w:r w:rsidR="001F3202" w:rsidRPr="00CF4D08">
        <w:rPr>
          <w:rFonts w:ascii="Times New Roman" w:hAnsi="Times New Roman" w:cs="Times New Roman"/>
          <w:iCs/>
          <w:color w:val="000000"/>
        </w:rPr>
        <w:t>Julia EICHEN</w:t>
      </w:r>
      <w:r w:rsidRPr="00CF4D08">
        <w:rPr>
          <w:rFonts w:ascii="Times New Roman" w:hAnsi="Times New Roman" w:cs="Times New Roman"/>
          <w:iCs/>
          <w:color w:val="000000"/>
        </w:rPr>
        <w:t>BERG</w:t>
      </w:r>
      <w:r w:rsidR="001F3202" w:rsidRPr="00CF4D08">
        <w:rPr>
          <w:rFonts w:ascii="Times New Roman" w:hAnsi="Times New Roman" w:cs="Times New Roman"/>
          <w:i/>
          <w:color w:val="000000"/>
        </w:rPr>
        <w:t xml:space="preserve"> </w:t>
      </w:r>
      <w:r w:rsidR="001F3202" w:rsidRPr="00CF4D08">
        <w:rPr>
          <w:rFonts w:ascii="Times New Roman" w:hAnsi="Times New Roman" w:cs="Times New Roman"/>
          <w:iCs/>
          <w:color w:val="000000"/>
        </w:rPr>
        <w:t xml:space="preserve">(Humboldt </w:t>
      </w:r>
      <w:proofErr w:type="spellStart"/>
      <w:r w:rsidR="001F3202" w:rsidRPr="00CF4D08">
        <w:rPr>
          <w:rFonts w:ascii="Times New Roman" w:hAnsi="Times New Roman" w:cs="Times New Roman"/>
          <w:iCs/>
          <w:color w:val="000000"/>
        </w:rPr>
        <w:t>Universität</w:t>
      </w:r>
      <w:proofErr w:type="spellEnd"/>
      <w:r w:rsidR="001F3202" w:rsidRPr="00CF4D08">
        <w:rPr>
          <w:rFonts w:ascii="Times New Roman" w:hAnsi="Times New Roman" w:cs="Times New Roman"/>
          <w:iCs/>
          <w:color w:val="000000"/>
        </w:rPr>
        <w:t xml:space="preserve"> – Berlin)</w:t>
      </w:r>
    </w:p>
    <w:p w14:paraId="2E07978E"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Pr. Dr. Jörg ECHTERNKAMP (ZMS-Postdam)</w:t>
      </w:r>
    </w:p>
    <w:p w14:paraId="744DE305"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Pr. Dr. Michael EPKENHANS (ZMS-Postdam)</w:t>
      </w:r>
    </w:p>
    <w:p w14:paraId="6B0B3F1C"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Pr. Dr. Oliver JANZ (</w:t>
      </w:r>
      <w:proofErr w:type="spellStart"/>
      <w:r w:rsidRPr="00CF4D08">
        <w:rPr>
          <w:rFonts w:ascii="Times New Roman" w:hAnsi="Times New Roman" w:cs="Times New Roman"/>
          <w:color w:val="000000"/>
        </w:rPr>
        <w:t>Freie</w:t>
      </w:r>
      <w:proofErr w:type="spellEnd"/>
      <w:r w:rsidRPr="00CF4D08">
        <w:rPr>
          <w:rFonts w:ascii="Times New Roman" w:hAnsi="Times New Roman" w:cs="Times New Roman"/>
          <w:color w:val="000000"/>
        </w:rPr>
        <w:t xml:space="preserve"> </w:t>
      </w:r>
      <w:proofErr w:type="spellStart"/>
      <w:r w:rsidRPr="00CF4D08">
        <w:rPr>
          <w:rFonts w:ascii="Times New Roman" w:hAnsi="Times New Roman" w:cs="Times New Roman"/>
          <w:color w:val="000000"/>
        </w:rPr>
        <w:t>Universität</w:t>
      </w:r>
      <w:proofErr w:type="spellEnd"/>
      <w:r w:rsidRPr="00CF4D08">
        <w:rPr>
          <w:rFonts w:ascii="Times New Roman" w:hAnsi="Times New Roman" w:cs="Times New Roman"/>
          <w:color w:val="000000"/>
        </w:rPr>
        <w:t xml:space="preserve"> – Berlin)</w:t>
      </w:r>
    </w:p>
    <w:p w14:paraId="2980FE99"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Dr. Elise JULIEN (Sciences-Po Lille)</w:t>
      </w:r>
    </w:p>
    <w:p w14:paraId="17FB565C"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Christine KRÜGER (Greifswald)</w:t>
      </w:r>
    </w:p>
    <w:p w14:paraId="202CD2BA"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Pr. Dr. Gerd KRUMEICH (Centre international De recherche de l’Historial de la Grande Guerre – Péronne)</w:t>
      </w:r>
    </w:p>
    <w:p w14:paraId="729CF219"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Dr. Julie LE GAC (Université de Paris Nanterre)</w:t>
      </w:r>
    </w:p>
    <w:p w14:paraId="0A00A2B2" w14:textId="2DF71357" w:rsidR="001F3202" w:rsidRPr="00CF4D08" w:rsidRDefault="001F3202" w:rsidP="001F3202">
      <w:pPr>
        <w:rPr>
          <w:rFonts w:ascii="Times New Roman" w:hAnsi="Times New Roman" w:cs="Times New Roman"/>
          <w:color w:val="000000"/>
          <w:lang w:val="en-US"/>
        </w:rPr>
      </w:pPr>
      <w:r w:rsidRPr="00CF4D08">
        <w:rPr>
          <w:rFonts w:ascii="Times New Roman" w:hAnsi="Times New Roman" w:cs="Times New Roman"/>
          <w:color w:val="000000"/>
          <w:lang w:val="en-US"/>
        </w:rPr>
        <w:t xml:space="preserve">Pr. Heather JONES (University College – </w:t>
      </w:r>
      <w:proofErr w:type="spellStart"/>
      <w:r w:rsidRPr="00CF4D08">
        <w:rPr>
          <w:rFonts w:ascii="Times New Roman" w:hAnsi="Times New Roman" w:cs="Times New Roman"/>
          <w:color w:val="000000"/>
          <w:lang w:val="en-US"/>
        </w:rPr>
        <w:t>Londres</w:t>
      </w:r>
      <w:proofErr w:type="spellEnd"/>
      <w:r w:rsidRPr="00CF4D08">
        <w:rPr>
          <w:rFonts w:ascii="Times New Roman" w:hAnsi="Times New Roman" w:cs="Times New Roman"/>
          <w:color w:val="000000"/>
          <w:lang w:val="en-US"/>
        </w:rPr>
        <w:t>)</w:t>
      </w:r>
    </w:p>
    <w:p w14:paraId="7AADCD97" w14:textId="535A09CA" w:rsidR="004A34C1" w:rsidRPr="00CF4D08" w:rsidRDefault="004A34C1" w:rsidP="004A34C1">
      <w:pPr>
        <w:jc w:val="both"/>
        <w:rPr>
          <w:rFonts w:ascii="Times New Roman" w:hAnsi="Times New Roman" w:cs="Times New Roman"/>
          <w:color w:val="000000" w:themeColor="text1"/>
        </w:rPr>
      </w:pPr>
      <w:r w:rsidRPr="00CF4D08">
        <w:rPr>
          <w:rFonts w:ascii="Times New Roman" w:hAnsi="Times New Roman" w:cs="Times New Roman"/>
          <w:color w:val="000000"/>
        </w:rPr>
        <w:t xml:space="preserve">Dr. </w:t>
      </w:r>
      <w:proofErr w:type="spellStart"/>
      <w:r w:rsidRPr="00CF4D08">
        <w:rPr>
          <w:rFonts w:ascii="Times New Roman" w:hAnsi="Times New Roman" w:cs="Times New Roman"/>
          <w:color w:val="000000"/>
        </w:rPr>
        <w:t>Mareike</w:t>
      </w:r>
      <w:proofErr w:type="spellEnd"/>
      <w:r w:rsidRPr="00CF4D08">
        <w:rPr>
          <w:rFonts w:ascii="Times New Roman" w:hAnsi="Times New Roman" w:cs="Times New Roman"/>
          <w:color w:val="000000"/>
        </w:rPr>
        <w:t xml:space="preserve"> KONIG (Institut Historique Allemand)</w:t>
      </w:r>
    </w:p>
    <w:p w14:paraId="556E32A5"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Commandant Dr. Laurent LOPEZ (Service Historique de la Défense- Vincennes)</w:t>
      </w:r>
    </w:p>
    <w:p w14:paraId="7F99D5AE"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Dr. Jean MARTINANT DE PRENEUF (Service Historique de la Défense- Vincennes)</w:t>
      </w:r>
    </w:p>
    <w:p w14:paraId="4BA76A13"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 xml:space="preserve">Dr. </w:t>
      </w:r>
      <w:proofErr w:type="spellStart"/>
      <w:r w:rsidRPr="00CF4D08">
        <w:rPr>
          <w:rFonts w:ascii="Times New Roman" w:hAnsi="Times New Roman" w:cs="Times New Roman"/>
          <w:color w:val="000000"/>
        </w:rPr>
        <w:t>Silke</w:t>
      </w:r>
      <w:proofErr w:type="spellEnd"/>
      <w:r w:rsidRPr="00CF4D08">
        <w:rPr>
          <w:rFonts w:ascii="Times New Roman" w:hAnsi="Times New Roman" w:cs="Times New Roman"/>
          <w:color w:val="000000"/>
        </w:rPr>
        <w:t xml:space="preserve"> MENDE (Centre Marc Bloch – Berlin)</w:t>
      </w:r>
    </w:p>
    <w:p w14:paraId="709D2A19" w14:textId="77777777" w:rsidR="001F3202" w:rsidRPr="00CF4D08" w:rsidRDefault="001F3202" w:rsidP="001F3202">
      <w:pPr>
        <w:rPr>
          <w:rFonts w:ascii="Times New Roman" w:hAnsi="Times New Roman" w:cs="Times New Roman"/>
          <w:color w:val="000000"/>
        </w:rPr>
      </w:pPr>
      <w:proofErr w:type="spellStart"/>
      <w:proofErr w:type="gramStart"/>
      <w:r w:rsidRPr="00CF4D08">
        <w:rPr>
          <w:rFonts w:ascii="Times New Roman" w:hAnsi="Times New Roman" w:cs="Times New Roman"/>
          <w:color w:val="000000"/>
        </w:rPr>
        <w:t>Pr.Philippe</w:t>
      </w:r>
      <w:proofErr w:type="spellEnd"/>
      <w:proofErr w:type="gramEnd"/>
      <w:r w:rsidRPr="00CF4D08">
        <w:rPr>
          <w:rFonts w:ascii="Times New Roman" w:hAnsi="Times New Roman" w:cs="Times New Roman"/>
          <w:color w:val="000000"/>
        </w:rPr>
        <w:t xml:space="preserve"> NIVET (Université de Picardie/Jules Verne – Amiens)</w:t>
      </w:r>
    </w:p>
    <w:p w14:paraId="5865010F"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Dr. Fabien THEOFILAKIS (Paris Panthéon-Sorbonne)</w:t>
      </w:r>
    </w:p>
    <w:p w14:paraId="35E67F95" w14:textId="77777777" w:rsidR="001F3202" w:rsidRPr="00CF4D08" w:rsidRDefault="001F3202" w:rsidP="001F3202">
      <w:pPr>
        <w:rPr>
          <w:rFonts w:ascii="Times New Roman" w:hAnsi="Times New Roman" w:cs="Times New Roman"/>
          <w:color w:val="000000"/>
        </w:rPr>
      </w:pPr>
      <w:r w:rsidRPr="00CF4D08">
        <w:rPr>
          <w:rFonts w:ascii="Times New Roman" w:hAnsi="Times New Roman" w:cs="Times New Roman"/>
          <w:color w:val="000000"/>
        </w:rPr>
        <w:t>Dr. Pr. Jakob VOGEL (Centre Marc Bloch – Berlin)</w:t>
      </w:r>
    </w:p>
    <w:p w14:paraId="6A6D596A" w14:textId="77777777" w:rsidR="001F3202" w:rsidRPr="00CF4D08" w:rsidRDefault="001F3202" w:rsidP="001F3202">
      <w:pPr>
        <w:jc w:val="both"/>
        <w:rPr>
          <w:rFonts w:ascii="Times New Roman" w:hAnsi="Times New Roman" w:cs="Times New Roman"/>
          <w:color w:val="000000" w:themeColor="text1"/>
        </w:rPr>
      </w:pPr>
    </w:p>
    <w:p w14:paraId="000C3431" w14:textId="77777777" w:rsidR="001F3202" w:rsidRPr="00CF4D08" w:rsidRDefault="001F3202" w:rsidP="00CF4D08">
      <w:pPr>
        <w:jc w:val="center"/>
        <w:rPr>
          <w:rFonts w:ascii="Times New Roman" w:hAnsi="Times New Roman" w:cs="Times New Roman"/>
          <w:b/>
          <w:bCs/>
          <w:color w:val="000000" w:themeColor="text1"/>
          <w:sz w:val="28"/>
          <w:szCs w:val="28"/>
        </w:rPr>
      </w:pPr>
      <w:r w:rsidRPr="00CF4D08">
        <w:rPr>
          <w:rFonts w:ascii="Times New Roman" w:hAnsi="Times New Roman" w:cs="Times New Roman"/>
          <w:b/>
          <w:bCs/>
          <w:color w:val="000000" w:themeColor="text1"/>
          <w:sz w:val="28"/>
          <w:szCs w:val="28"/>
        </w:rPr>
        <w:t>Institutions partenaires</w:t>
      </w:r>
    </w:p>
    <w:p w14:paraId="6F3AF8DD" w14:textId="7DFE81E2" w:rsidR="001F3202" w:rsidRPr="00CF4D08" w:rsidRDefault="001F3202" w:rsidP="001F3202">
      <w:pPr>
        <w:rPr>
          <w:rFonts w:ascii="Times New Roman" w:hAnsi="Times New Roman" w:cs="Times New Roman"/>
          <w:color w:val="000000" w:themeColor="text1"/>
        </w:rPr>
      </w:pPr>
      <w:r w:rsidRPr="00CF4D08">
        <w:rPr>
          <w:rFonts w:ascii="Times New Roman" w:hAnsi="Times New Roman" w:cs="Times New Roman"/>
          <w:bCs/>
          <w:color w:val="000000" w:themeColor="text1"/>
        </w:rPr>
        <w:t>Centre d’Histoire « Espaces et Cultures » de l’Université d</w:t>
      </w:r>
      <w:r w:rsidR="00243335" w:rsidRPr="00CF4D08">
        <w:rPr>
          <w:rFonts w:ascii="Times New Roman" w:hAnsi="Times New Roman" w:cs="Times New Roman"/>
          <w:bCs/>
          <w:color w:val="000000" w:themeColor="text1"/>
        </w:rPr>
        <w:t>e Clermont-Auvergne</w:t>
      </w:r>
      <w:r w:rsidR="001E542F" w:rsidRPr="00CF4D08">
        <w:rPr>
          <w:rFonts w:ascii="Times New Roman" w:hAnsi="Times New Roman" w:cs="Times New Roman"/>
          <w:bCs/>
          <w:color w:val="000000" w:themeColor="text1"/>
        </w:rPr>
        <w:t xml:space="preserve"> - </w:t>
      </w:r>
      <w:r w:rsidRPr="00CF4D08">
        <w:rPr>
          <w:rFonts w:ascii="Times New Roman" w:hAnsi="Times New Roman" w:cs="Times New Roman"/>
          <w:bCs/>
          <w:color w:val="000000" w:themeColor="text1"/>
        </w:rPr>
        <w:t>Clermont-Ferrand)</w:t>
      </w:r>
    </w:p>
    <w:p w14:paraId="52B31051" w14:textId="31CC189C" w:rsidR="00243335" w:rsidRDefault="00243335" w:rsidP="001F3202">
      <w:pPr>
        <w:jc w:val="both"/>
        <w:rPr>
          <w:rFonts w:ascii="Times New Roman" w:hAnsi="Times New Roman" w:cs="Times New Roman"/>
          <w:color w:val="222222"/>
          <w:shd w:val="clear" w:color="auto" w:fill="FFFFFF"/>
        </w:rPr>
      </w:pPr>
      <w:r w:rsidRPr="00CF4D08">
        <w:rPr>
          <w:rFonts w:ascii="Times New Roman" w:hAnsi="Times New Roman" w:cs="Times New Roman"/>
          <w:color w:val="222222"/>
          <w:shd w:val="clear" w:color="auto" w:fill="FFFFFF"/>
        </w:rPr>
        <w:t xml:space="preserve">Centre International de Recherche de l’Historial de la Grande Guerre (Péronne) -Université de Picardie Jules Verne (Amiens) </w:t>
      </w:r>
    </w:p>
    <w:p w14:paraId="7DD8D7C2" w14:textId="371D9D90" w:rsidR="008F6386" w:rsidRPr="0048156B" w:rsidRDefault="008F6386" w:rsidP="001F3202">
      <w:pPr>
        <w:jc w:val="both"/>
        <w:rPr>
          <w:rFonts w:ascii="Times New Roman" w:hAnsi="Times New Roman" w:cs="Times New Roman"/>
          <w:color w:val="222222"/>
          <w:shd w:val="clear" w:color="auto" w:fill="FFFFFF"/>
        </w:rPr>
      </w:pPr>
      <w:r w:rsidRPr="0048156B">
        <w:rPr>
          <w:rFonts w:ascii="Times New Roman" w:hAnsi="Times New Roman" w:cs="Times New Roman"/>
          <w:color w:val="222222"/>
          <w:shd w:val="clear" w:color="auto" w:fill="FFFFFF"/>
        </w:rPr>
        <w:t xml:space="preserve">Centre Marc </w:t>
      </w:r>
      <w:proofErr w:type="spellStart"/>
      <w:r w:rsidRPr="0048156B">
        <w:rPr>
          <w:rFonts w:ascii="Times New Roman" w:hAnsi="Times New Roman" w:cs="Times New Roman"/>
          <w:color w:val="222222"/>
          <w:shd w:val="clear" w:color="auto" w:fill="FFFFFF"/>
        </w:rPr>
        <w:t>Boch</w:t>
      </w:r>
      <w:proofErr w:type="spellEnd"/>
      <w:r w:rsidRPr="0048156B">
        <w:rPr>
          <w:rFonts w:ascii="Times New Roman" w:hAnsi="Times New Roman" w:cs="Times New Roman"/>
          <w:color w:val="222222"/>
          <w:shd w:val="clear" w:color="auto" w:fill="FFFFFF"/>
        </w:rPr>
        <w:t xml:space="preserve"> / </w:t>
      </w:r>
      <w:proofErr w:type="spellStart"/>
      <w:r w:rsidRPr="0048156B">
        <w:rPr>
          <w:rFonts w:ascii="Times New Roman" w:hAnsi="Times New Roman" w:cs="Times New Roman"/>
          <w:color w:val="222222"/>
          <w:shd w:val="clear" w:color="auto" w:fill="FFFFFF"/>
        </w:rPr>
        <w:t>Zentrum</w:t>
      </w:r>
      <w:proofErr w:type="spellEnd"/>
      <w:r w:rsidRPr="0048156B">
        <w:rPr>
          <w:rFonts w:ascii="Times New Roman" w:hAnsi="Times New Roman" w:cs="Times New Roman"/>
          <w:color w:val="222222"/>
          <w:shd w:val="clear" w:color="auto" w:fill="FFFFFF"/>
        </w:rPr>
        <w:t xml:space="preserve"> Marc Bloch (Berlin)</w:t>
      </w:r>
    </w:p>
    <w:p w14:paraId="446A37EA" w14:textId="244A5531" w:rsidR="001F3202" w:rsidRPr="00CF4D08" w:rsidRDefault="001F3202" w:rsidP="001F3202">
      <w:pPr>
        <w:jc w:val="both"/>
        <w:rPr>
          <w:rFonts w:ascii="Times New Roman" w:hAnsi="Times New Roman" w:cs="Times New Roman"/>
          <w:color w:val="000000" w:themeColor="text1"/>
        </w:rPr>
      </w:pPr>
      <w:r w:rsidRPr="00CF4D08">
        <w:rPr>
          <w:rFonts w:ascii="Times New Roman" w:hAnsi="Times New Roman" w:cs="Times New Roman"/>
          <w:color w:val="000000" w:themeColor="text1"/>
        </w:rPr>
        <w:t>Historial de la Grande Guerre (Péronne</w:t>
      </w:r>
      <w:r w:rsidR="008E32F0" w:rsidRPr="00CF4D08">
        <w:rPr>
          <w:rFonts w:ascii="Times New Roman" w:hAnsi="Times New Roman" w:cs="Times New Roman"/>
          <w:color w:val="000000" w:themeColor="text1"/>
        </w:rPr>
        <w:t xml:space="preserve"> et Thiepval</w:t>
      </w:r>
      <w:r w:rsidRPr="00CF4D08">
        <w:rPr>
          <w:rFonts w:ascii="Times New Roman" w:hAnsi="Times New Roman" w:cs="Times New Roman"/>
          <w:color w:val="000000" w:themeColor="text1"/>
        </w:rPr>
        <w:t>)</w:t>
      </w:r>
      <w:bookmarkStart w:id="1" w:name="_GoBack"/>
      <w:bookmarkEnd w:id="1"/>
    </w:p>
    <w:p w14:paraId="39EFD66A" w14:textId="73510B2A" w:rsidR="001F3202" w:rsidRPr="00CF4D08" w:rsidRDefault="001F3202" w:rsidP="001F3202">
      <w:pPr>
        <w:jc w:val="both"/>
        <w:rPr>
          <w:rFonts w:ascii="Times New Roman" w:hAnsi="Times New Roman" w:cs="Times New Roman"/>
          <w:color w:val="000000" w:themeColor="text1"/>
        </w:rPr>
      </w:pPr>
      <w:r w:rsidRPr="00CF4D08">
        <w:rPr>
          <w:rFonts w:ascii="Times New Roman" w:hAnsi="Times New Roman" w:cs="Times New Roman"/>
          <w:color w:val="000000" w:themeColor="text1"/>
        </w:rPr>
        <w:t>Institut Historique Allemand (Paris)</w:t>
      </w:r>
    </w:p>
    <w:p w14:paraId="41016225" w14:textId="77777777" w:rsidR="001F3202" w:rsidRPr="00CF4D08" w:rsidRDefault="001F3202" w:rsidP="001F3202">
      <w:pPr>
        <w:rPr>
          <w:rFonts w:ascii="Times New Roman" w:hAnsi="Times New Roman" w:cs="Times New Roman"/>
          <w:color w:val="000000" w:themeColor="text1"/>
        </w:rPr>
      </w:pPr>
      <w:r w:rsidRPr="00CF4D08">
        <w:rPr>
          <w:rFonts w:ascii="Times New Roman" w:hAnsi="Times New Roman" w:cs="Times New Roman"/>
          <w:color w:val="000000" w:themeColor="text1"/>
        </w:rPr>
        <w:t>Service Historique de la Défense (Vincennes)</w:t>
      </w:r>
    </w:p>
    <w:p w14:paraId="59E0B711" w14:textId="0A88B041" w:rsidR="009E3039" w:rsidRPr="00CF4D08" w:rsidRDefault="001F3202" w:rsidP="00CF4D08">
      <w:pPr>
        <w:rPr>
          <w:color w:val="000000" w:themeColor="text1"/>
          <w:lang w:val="en-US"/>
        </w:rPr>
      </w:pPr>
      <w:proofErr w:type="spellStart"/>
      <w:r w:rsidRPr="00CF4D08">
        <w:rPr>
          <w:rFonts w:ascii="Times New Roman" w:hAnsi="Times New Roman" w:cs="Times New Roman"/>
          <w:bCs/>
          <w:iCs/>
          <w:color w:val="000000" w:themeColor="text1"/>
          <w:lang w:val="en-US"/>
        </w:rPr>
        <w:t>Zentrum</w:t>
      </w:r>
      <w:proofErr w:type="spellEnd"/>
      <w:r w:rsidRPr="00CF4D08">
        <w:rPr>
          <w:rFonts w:ascii="Times New Roman" w:hAnsi="Times New Roman" w:cs="Times New Roman"/>
          <w:bCs/>
          <w:iCs/>
          <w:color w:val="000000" w:themeColor="text1"/>
          <w:lang w:val="en-US"/>
        </w:rPr>
        <w:t xml:space="preserve"> </w:t>
      </w:r>
      <w:proofErr w:type="spellStart"/>
      <w:r w:rsidRPr="00CF4D08">
        <w:rPr>
          <w:rFonts w:ascii="Times New Roman" w:hAnsi="Times New Roman" w:cs="Times New Roman"/>
          <w:bCs/>
          <w:iCs/>
          <w:color w:val="000000" w:themeColor="text1"/>
          <w:lang w:val="en-US"/>
        </w:rPr>
        <w:t>für</w:t>
      </w:r>
      <w:proofErr w:type="spellEnd"/>
      <w:r w:rsidRPr="00CF4D08">
        <w:rPr>
          <w:rFonts w:ascii="Times New Roman" w:hAnsi="Times New Roman" w:cs="Times New Roman"/>
          <w:bCs/>
          <w:iCs/>
          <w:color w:val="000000" w:themeColor="text1"/>
          <w:lang w:val="en-US"/>
        </w:rPr>
        <w:t xml:space="preserve"> </w:t>
      </w:r>
      <w:proofErr w:type="spellStart"/>
      <w:r w:rsidRPr="00CF4D08">
        <w:rPr>
          <w:rFonts w:ascii="Times New Roman" w:hAnsi="Times New Roman" w:cs="Times New Roman"/>
          <w:bCs/>
          <w:iCs/>
          <w:color w:val="000000" w:themeColor="text1"/>
          <w:lang w:val="en-US"/>
        </w:rPr>
        <w:t>Militärgeschichte</w:t>
      </w:r>
      <w:proofErr w:type="spellEnd"/>
      <w:r w:rsidRPr="00CF4D08">
        <w:rPr>
          <w:rFonts w:ascii="Times New Roman" w:hAnsi="Times New Roman" w:cs="Times New Roman"/>
          <w:bCs/>
          <w:iCs/>
          <w:color w:val="000000" w:themeColor="text1"/>
          <w:lang w:val="en-US"/>
        </w:rPr>
        <w:t xml:space="preserve"> und </w:t>
      </w:r>
      <w:proofErr w:type="spellStart"/>
      <w:r w:rsidRPr="00CF4D08">
        <w:rPr>
          <w:rFonts w:ascii="Times New Roman" w:hAnsi="Times New Roman" w:cs="Times New Roman"/>
          <w:bCs/>
          <w:iCs/>
          <w:color w:val="000000" w:themeColor="text1"/>
          <w:lang w:val="en-US"/>
        </w:rPr>
        <w:t>Sozialwissenschaften</w:t>
      </w:r>
      <w:proofErr w:type="spellEnd"/>
      <w:r w:rsidRPr="00CF4D08">
        <w:rPr>
          <w:rFonts w:ascii="Times New Roman" w:hAnsi="Times New Roman" w:cs="Times New Roman"/>
          <w:bCs/>
          <w:iCs/>
          <w:color w:val="000000" w:themeColor="text1"/>
          <w:lang w:val="en-US"/>
        </w:rPr>
        <w:t xml:space="preserve"> der Bundeswehr</w:t>
      </w:r>
      <w:r w:rsidRPr="00CF4D08">
        <w:rPr>
          <w:rFonts w:ascii="Times New Roman" w:hAnsi="Times New Roman" w:cs="Times New Roman"/>
          <w:bCs/>
          <w:color w:val="000000" w:themeColor="text1"/>
          <w:lang w:val="en-US"/>
        </w:rPr>
        <w:t xml:space="preserve"> (Potsdam</w:t>
      </w:r>
      <w:r w:rsidRPr="008E32F0">
        <w:rPr>
          <w:bCs/>
          <w:color w:val="000000" w:themeColor="text1"/>
          <w:lang w:val="en-US"/>
        </w:rPr>
        <w:t>)</w:t>
      </w:r>
    </w:p>
    <w:p w14:paraId="48D27E9E" w14:textId="77777777" w:rsidR="0048156B" w:rsidRPr="00CF4D08" w:rsidRDefault="0048156B">
      <w:pPr>
        <w:rPr>
          <w:color w:val="000000" w:themeColor="text1"/>
          <w:lang w:val="en-US"/>
        </w:rPr>
      </w:pPr>
    </w:p>
    <w:sectPr w:rsidR="0048156B" w:rsidRPr="00CF4D08" w:rsidSect="00107C27">
      <w:footerReference w:type="default" r:id="rI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3CB5F" w14:textId="77777777" w:rsidR="0065791E" w:rsidRDefault="0065791E" w:rsidP="001F3202">
      <w:r>
        <w:separator/>
      </w:r>
    </w:p>
  </w:endnote>
  <w:endnote w:type="continuationSeparator" w:id="0">
    <w:p w14:paraId="717449BF" w14:textId="77777777" w:rsidR="0065791E" w:rsidRDefault="0065791E" w:rsidP="001F3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361711"/>
      <w:docPartObj>
        <w:docPartGallery w:val="Page Numbers (Bottom of Page)"/>
        <w:docPartUnique/>
      </w:docPartObj>
    </w:sdtPr>
    <w:sdtEndPr/>
    <w:sdtContent>
      <w:p w14:paraId="797A4F88" w14:textId="77777777" w:rsidR="00891DE6" w:rsidRDefault="00B93AA3">
        <w:pPr>
          <w:pStyle w:val="Pieddepage"/>
          <w:jc w:val="center"/>
        </w:pPr>
        <w:r>
          <w:fldChar w:fldCharType="begin"/>
        </w:r>
        <w:r>
          <w:instrText>PAGE   \* MERGEFORMAT</w:instrText>
        </w:r>
        <w:r>
          <w:fldChar w:fldCharType="separate"/>
        </w:r>
        <w:r w:rsidR="001F3202">
          <w:rPr>
            <w:noProof/>
          </w:rPr>
          <w:t>6</w:t>
        </w:r>
        <w:r>
          <w:fldChar w:fldCharType="end"/>
        </w:r>
      </w:p>
    </w:sdtContent>
  </w:sdt>
  <w:p w14:paraId="644A101C" w14:textId="77777777" w:rsidR="00891DE6" w:rsidRDefault="006579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3A968" w14:textId="77777777" w:rsidR="0065791E" w:rsidRDefault="0065791E" w:rsidP="001F3202">
      <w:r>
        <w:separator/>
      </w:r>
    </w:p>
  </w:footnote>
  <w:footnote w:type="continuationSeparator" w:id="0">
    <w:p w14:paraId="5B798A65" w14:textId="77777777" w:rsidR="0065791E" w:rsidRDefault="0065791E" w:rsidP="001F3202">
      <w:r>
        <w:continuationSeparator/>
      </w:r>
    </w:p>
  </w:footnote>
  <w:footnote w:id="1">
    <w:p w14:paraId="20B12060" w14:textId="77777777" w:rsidR="001F3202" w:rsidRDefault="001F3202" w:rsidP="001F3202">
      <w:pPr>
        <w:pStyle w:val="Notedebasdepage"/>
        <w:jc w:val="both"/>
      </w:pPr>
      <w:r>
        <w:rPr>
          <w:rStyle w:val="Appelnotedebasdep"/>
        </w:rPr>
        <w:footnoteRef/>
      </w:r>
      <w:r>
        <w:t xml:space="preserve"> Julien Élise, </w:t>
      </w:r>
      <w:proofErr w:type="spellStart"/>
      <w:r>
        <w:t>König</w:t>
      </w:r>
      <w:proofErr w:type="spellEnd"/>
      <w:r>
        <w:t xml:space="preserve"> </w:t>
      </w:r>
      <w:proofErr w:type="spellStart"/>
      <w:r>
        <w:t>Mareike</w:t>
      </w:r>
      <w:proofErr w:type="spellEnd"/>
      <w:r>
        <w:t xml:space="preserve">, </w:t>
      </w:r>
      <w:r w:rsidRPr="00624E33">
        <w:rPr>
          <w:i/>
        </w:rPr>
        <w:t>Rivalités et interdépendances 1870-1918,</w:t>
      </w:r>
      <w:r>
        <w:t xml:space="preserve"> (Histoire franco-allemande vol. 7) Villeneuve d’Ascq, PU du Septentrion, 2018 ; </w:t>
      </w:r>
      <w:proofErr w:type="spellStart"/>
      <w:r>
        <w:t>Guieu</w:t>
      </w:r>
      <w:proofErr w:type="spellEnd"/>
      <w:r>
        <w:t xml:space="preserve"> Jean-Michel, Gagner la paix, 1914-1929, Paris, Le Seuil, 2015.</w:t>
      </w:r>
    </w:p>
  </w:footnote>
  <w:footnote w:id="2">
    <w:p w14:paraId="4633BC1F" w14:textId="77777777" w:rsidR="001F3202" w:rsidRPr="004C218F" w:rsidRDefault="001F3202" w:rsidP="001F3202">
      <w:pPr>
        <w:pStyle w:val="Notedebasdepage"/>
        <w:jc w:val="both"/>
        <w:rPr>
          <w:lang w:val="de-DE"/>
        </w:rPr>
      </w:pPr>
      <w:r>
        <w:rPr>
          <w:rStyle w:val="Appelnotedebasdep"/>
        </w:rPr>
        <w:footnoteRef/>
      </w:r>
      <w:r w:rsidRPr="004C218F">
        <w:rPr>
          <w:lang w:val="de-DE"/>
        </w:rPr>
        <w:t xml:space="preserve"> </w:t>
      </w:r>
      <w:proofErr w:type="spellStart"/>
      <w:r w:rsidRPr="004C218F">
        <w:rPr>
          <w:lang w:val="de-DE"/>
        </w:rPr>
        <w:t>Schi</w:t>
      </w:r>
      <w:r>
        <w:rPr>
          <w:lang w:val="de-DE"/>
        </w:rPr>
        <w:t>v</w:t>
      </w:r>
      <w:r w:rsidRPr="004C218F">
        <w:rPr>
          <w:lang w:val="de-DE"/>
        </w:rPr>
        <w:t>elbusch</w:t>
      </w:r>
      <w:proofErr w:type="spellEnd"/>
      <w:r w:rsidRPr="004C218F">
        <w:rPr>
          <w:lang w:val="de-DE"/>
        </w:rPr>
        <w:t xml:space="preserve"> Wolfgang, </w:t>
      </w:r>
      <w:r w:rsidRPr="004C218F">
        <w:rPr>
          <w:i/>
          <w:lang w:val="de-DE"/>
        </w:rPr>
        <w:t>Die Kultur der Niederlage. Der amerikanische Süden 1865, Frankreich 1871, Deutschland 1918,</w:t>
      </w:r>
      <w:r w:rsidRPr="004C218F">
        <w:rPr>
          <w:lang w:val="de-DE"/>
        </w:rPr>
        <w:t xml:space="preserve"> Francfort </w:t>
      </w:r>
      <w:proofErr w:type="spellStart"/>
      <w:r w:rsidRPr="004C218F">
        <w:rPr>
          <w:lang w:val="de-DE"/>
        </w:rPr>
        <w:t>sur</w:t>
      </w:r>
      <w:proofErr w:type="spellEnd"/>
      <w:r w:rsidRPr="004C218F">
        <w:rPr>
          <w:lang w:val="de-DE"/>
        </w:rPr>
        <w:t xml:space="preserve"> le Main, Fischer, 2007 (1</w:t>
      </w:r>
      <w:r w:rsidRPr="004C218F">
        <w:rPr>
          <w:vertAlign w:val="superscript"/>
          <w:lang w:val="de-DE"/>
        </w:rPr>
        <w:t>ère</w:t>
      </w:r>
      <w:r w:rsidRPr="004C218F">
        <w:rPr>
          <w:lang w:val="de-DE"/>
        </w:rPr>
        <w:t xml:space="preserve"> </w:t>
      </w:r>
      <w:proofErr w:type="spellStart"/>
      <w:r w:rsidRPr="004C218F">
        <w:rPr>
          <w:lang w:val="de-DE"/>
        </w:rPr>
        <w:t>éd</w:t>
      </w:r>
      <w:proofErr w:type="spellEnd"/>
      <w:r w:rsidRPr="004C218F">
        <w:rPr>
          <w:lang w:val="de-DE"/>
        </w:rPr>
        <w:t>. 2001).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202"/>
    <w:rsid w:val="00000478"/>
    <w:rsid w:val="00100415"/>
    <w:rsid w:val="001B2550"/>
    <w:rsid w:val="001E542F"/>
    <w:rsid w:val="001F3202"/>
    <w:rsid w:val="0020590B"/>
    <w:rsid w:val="0020646F"/>
    <w:rsid w:val="00243335"/>
    <w:rsid w:val="00303065"/>
    <w:rsid w:val="003F25A6"/>
    <w:rsid w:val="0048022B"/>
    <w:rsid w:val="0048156B"/>
    <w:rsid w:val="004A34C1"/>
    <w:rsid w:val="004C4591"/>
    <w:rsid w:val="004D44B4"/>
    <w:rsid w:val="005B08AD"/>
    <w:rsid w:val="0065791E"/>
    <w:rsid w:val="006E30E9"/>
    <w:rsid w:val="006E77CE"/>
    <w:rsid w:val="008169E0"/>
    <w:rsid w:val="0085200B"/>
    <w:rsid w:val="008E32F0"/>
    <w:rsid w:val="008F6386"/>
    <w:rsid w:val="00910803"/>
    <w:rsid w:val="0091240E"/>
    <w:rsid w:val="009E3039"/>
    <w:rsid w:val="00A73CD6"/>
    <w:rsid w:val="00B13BA3"/>
    <w:rsid w:val="00B93AA3"/>
    <w:rsid w:val="00BC37E1"/>
    <w:rsid w:val="00CF4D08"/>
    <w:rsid w:val="00D0601A"/>
    <w:rsid w:val="00D22551"/>
    <w:rsid w:val="00D82466"/>
    <w:rsid w:val="00DE66B3"/>
    <w:rsid w:val="00F30DA1"/>
    <w:rsid w:val="00F53259"/>
    <w:rsid w:val="00FD39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3AF9"/>
  <w15:docId w15:val="{43937357-1409-439E-8F19-A0278C74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202"/>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1F3202"/>
    <w:rPr>
      <w:sz w:val="20"/>
      <w:szCs w:val="20"/>
    </w:rPr>
  </w:style>
  <w:style w:type="character" w:customStyle="1" w:styleId="NotedebasdepageCar">
    <w:name w:val="Note de bas de page Car"/>
    <w:basedOn w:val="Policepardfaut"/>
    <w:link w:val="Notedebasdepage"/>
    <w:uiPriority w:val="99"/>
    <w:rsid w:val="001F3202"/>
    <w:rPr>
      <w:sz w:val="20"/>
      <w:szCs w:val="20"/>
    </w:rPr>
  </w:style>
  <w:style w:type="character" w:styleId="Appelnotedebasdep">
    <w:name w:val="footnote reference"/>
    <w:basedOn w:val="Policepardfaut"/>
    <w:uiPriority w:val="99"/>
    <w:unhideWhenUsed/>
    <w:rsid w:val="001F3202"/>
    <w:rPr>
      <w:vertAlign w:val="superscript"/>
    </w:rPr>
  </w:style>
  <w:style w:type="character" w:styleId="Marquedecommentaire">
    <w:name w:val="annotation reference"/>
    <w:basedOn w:val="Policepardfaut"/>
    <w:uiPriority w:val="99"/>
    <w:semiHidden/>
    <w:unhideWhenUsed/>
    <w:rsid w:val="001F3202"/>
    <w:rPr>
      <w:sz w:val="16"/>
      <w:szCs w:val="16"/>
    </w:rPr>
  </w:style>
  <w:style w:type="paragraph" w:styleId="Commentaire">
    <w:name w:val="annotation text"/>
    <w:basedOn w:val="Normal"/>
    <w:link w:val="CommentaireCar"/>
    <w:uiPriority w:val="99"/>
    <w:semiHidden/>
    <w:unhideWhenUsed/>
    <w:rsid w:val="001F3202"/>
    <w:rPr>
      <w:sz w:val="20"/>
      <w:szCs w:val="20"/>
    </w:rPr>
  </w:style>
  <w:style w:type="character" w:customStyle="1" w:styleId="CommentaireCar">
    <w:name w:val="Commentaire Car"/>
    <w:basedOn w:val="Policepardfaut"/>
    <w:link w:val="Commentaire"/>
    <w:uiPriority w:val="99"/>
    <w:semiHidden/>
    <w:rsid w:val="001F3202"/>
    <w:rPr>
      <w:sz w:val="20"/>
      <w:szCs w:val="20"/>
    </w:rPr>
  </w:style>
  <w:style w:type="paragraph" w:styleId="Pieddepage">
    <w:name w:val="footer"/>
    <w:basedOn w:val="Normal"/>
    <w:link w:val="PieddepageCar"/>
    <w:uiPriority w:val="99"/>
    <w:unhideWhenUsed/>
    <w:rsid w:val="001F3202"/>
    <w:pPr>
      <w:tabs>
        <w:tab w:val="center" w:pos="4536"/>
        <w:tab w:val="right" w:pos="9072"/>
      </w:tabs>
    </w:pPr>
  </w:style>
  <w:style w:type="character" w:customStyle="1" w:styleId="PieddepageCar">
    <w:name w:val="Pied de page Car"/>
    <w:basedOn w:val="Policepardfaut"/>
    <w:link w:val="Pieddepage"/>
    <w:uiPriority w:val="99"/>
    <w:rsid w:val="001F3202"/>
    <w:rPr>
      <w:sz w:val="24"/>
      <w:szCs w:val="24"/>
    </w:rPr>
  </w:style>
  <w:style w:type="paragraph" w:styleId="Textedebulles">
    <w:name w:val="Balloon Text"/>
    <w:basedOn w:val="Normal"/>
    <w:link w:val="TextedebullesCar"/>
    <w:uiPriority w:val="99"/>
    <w:semiHidden/>
    <w:unhideWhenUsed/>
    <w:rsid w:val="001F3202"/>
    <w:rPr>
      <w:rFonts w:ascii="Tahoma" w:hAnsi="Tahoma" w:cs="Tahoma"/>
      <w:sz w:val="16"/>
      <w:szCs w:val="16"/>
    </w:rPr>
  </w:style>
  <w:style w:type="character" w:customStyle="1" w:styleId="TextedebullesCar">
    <w:name w:val="Texte de bulles Car"/>
    <w:basedOn w:val="Policepardfaut"/>
    <w:link w:val="Textedebulles"/>
    <w:uiPriority w:val="99"/>
    <w:semiHidden/>
    <w:rsid w:val="001F32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35907">
      <w:bodyDiv w:val="1"/>
      <w:marLeft w:val="0"/>
      <w:marRight w:val="0"/>
      <w:marTop w:val="0"/>
      <w:marBottom w:val="0"/>
      <w:divBdr>
        <w:top w:val="none" w:sz="0" w:space="0" w:color="auto"/>
        <w:left w:val="none" w:sz="0" w:space="0" w:color="auto"/>
        <w:bottom w:val="none" w:sz="0" w:space="0" w:color="auto"/>
        <w:right w:val="none" w:sz="0" w:space="0" w:color="auto"/>
      </w:divBdr>
      <w:divsChild>
        <w:div w:id="477037209">
          <w:marLeft w:val="0"/>
          <w:marRight w:val="0"/>
          <w:marTop w:val="0"/>
          <w:marBottom w:val="0"/>
          <w:divBdr>
            <w:top w:val="none" w:sz="0" w:space="0" w:color="auto"/>
            <w:left w:val="none" w:sz="0" w:space="0" w:color="auto"/>
            <w:bottom w:val="none" w:sz="0" w:space="0" w:color="auto"/>
            <w:right w:val="none" w:sz="0" w:space="0" w:color="auto"/>
          </w:divBdr>
        </w:div>
        <w:div w:id="683482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2649</Words>
  <Characters>14574</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Géraud</dc:creator>
  <cp:lastModifiedBy>Microsoft Office User</cp:lastModifiedBy>
  <cp:revision>2</cp:revision>
  <dcterms:created xsi:type="dcterms:W3CDTF">2020-07-16T12:36:00Z</dcterms:created>
  <dcterms:modified xsi:type="dcterms:W3CDTF">2020-07-16T12:36:00Z</dcterms:modified>
</cp:coreProperties>
</file>